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F41" w:rsidRPr="00A41CF5" w:rsidRDefault="009F3F41" w:rsidP="009F3F41">
      <w:pPr>
        <w:pStyle w:val="Title"/>
      </w:pPr>
      <w:r w:rsidRPr="00A41CF5">
        <w:t xml:space="preserve">Rapport intermédiaire </w:t>
      </w:r>
    </w:p>
    <w:p w:rsidR="0040028C" w:rsidRPr="00A41CF5" w:rsidRDefault="00B67BBD" w:rsidP="009F3F41">
      <w:pPr>
        <w:pStyle w:val="Subtitle"/>
        <w:rPr>
          <w:b/>
        </w:rPr>
      </w:pPr>
      <w:r w:rsidRPr="00A41CF5">
        <w:rPr>
          <w:b/>
        </w:rPr>
        <w:t>Au</w:t>
      </w:r>
      <w:r w:rsidR="009F3F41" w:rsidRPr="00A41CF5">
        <w:rPr>
          <w:b/>
        </w:rPr>
        <w:t xml:space="preserve"> 30 juin 2017</w:t>
      </w:r>
    </w:p>
    <w:p w:rsidR="009F3F41" w:rsidRDefault="009F3F41" w:rsidP="00E95C2B">
      <w:pPr>
        <w:widowControl w:val="0"/>
      </w:pPr>
    </w:p>
    <w:p w:rsidR="00CA5ECB" w:rsidRDefault="00CA5ECB" w:rsidP="00E95C2B">
      <w:pPr>
        <w:widowControl w:val="0"/>
      </w:pPr>
    </w:p>
    <w:tbl>
      <w:tblPr>
        <w:tblStyle w:val="TableGrid"/>
        <w:tblW w:w="0" w:type="auto"/>
        <w:tblLook w:val="04A0" w:firstRow="1" w:lastRow="0" w:firstColumn="1" w:lastColumn="0" w:noHBand="0" w:noVBand="1"/>
      </w:tblPr>
      <w:tblGrid>
        <w:gridCol w:w="9344"/>
      </w:tblGrid>
      <w:tr w:rsidR="00CA5ECB" w:rsidTr="00CA5ECB">
        <w:tc>
          <w:tcPr>
            <w:tcW w:w="9344" w:type="dxa"/>
          </w:tcPr>
          <w:sdt>
            <w:sdtPr>
              <w:rPr>
                <w:rFonts w:asciiTheme="minorHAnsi" w:eastAsiaTheme="minorHAnsi" w:hAnsiTheme="minorHAnsi" w:cstheme="minorBidi"/>
                <w:caps w:val="0"/>
                <w:color w:val="626261"/>
                <w:sz w:val="22"/>
                <w:szCs w:val="22"/>
                <w:lang w:val="fr-BE"/>
              </w:rPr>
              <w:id w:val="-1782872143"/>
              <w:docPartObj>
                <w:docPartGallery w:val="Table of Contents"/>
                <w:docPartUnique/>
              </w:docPartObj>
            </w:sdtPr>
            <w:sdtEndPr>
              <w:rPr>
                <w:b/>
                <w:bCs/>
                <w:noProof/>
              </w:rPr>
            </w:sdtEndPr>
            <w:sdtContent>
              <w:p w:rsidR="00CA5ECB" w:rsidRDefault="00CA5ECB" w:rsidP="00CA5ECB">
                <w:pPr>
                  <w:pStyle w:val="TOCHeading"/>
                </w:pPr>
                <w:r>
                  <w:t>SOMMAIRE</w:t>
                </w:r>
              </w:p>
              <w:p w:rsidR="0067659C" w:rsidRDefault="00CA5ECB">
                <w:pPr>
                  <w:pStyle w:val="TOC1"/>
                  <w:tabs>
                    <w:tab w:val="left" w:pos="400"/>
                    <w:tab w:val="right" w:leader="dot" w:pos="9344"/>
                  </w:tabs>
                  <w:rPr>
                    <w:rFonts w:eastAsiaTheme="minorEastAsia"/>
                    <w:noProof/>
                    <w:color w:val="auto"/>
                    <w:lang w:val="en-GB" w:eastAsia="en-GB"/>
                  </w:rPr>
                </w:pPr>
                <w:r>
                  <w:fldChar w:fldCharType="begin"/>
                </w:r>
                <w:r>
                  <w:instrText xml:space="preserve"> TOC \o "1-2" \h \z \u </w:instrText>
                </w:r>
                <w:r>
                  <w:fldChar w:fldCharType="separate"/>
                </w:r>
                <w:hyperlink w:anchor="_Toc491768794" w:history="1">
                  <w:r w:rsidR="0067659C" w:rsidRPr="00AD340E">
                    <w:rPr>
                      <w:rStyle w:val="Hyperlink"/>
                      <w:noProof/>
                    </w:rPr>
                    <w:t>1.</w:t>
                  </w:r>
                  <w:r w:rsidR="0067659C">
                    <w:rPr>
                      <w:rFonts w:eastAsiaTheme="minorEastAsia"/>
                      <w:noProof/>
                      <w:color w:val="auto"/>
                      <w:lang w:val="en-GB" w:eastAsia="en-GB"/>
                    </w:rPr>
                    <w:tab/>
                  </w:r>
                  <w:r w:rsidR="0067659C" w:rsidRPr="00AD340E">
                    <w:rPr>
                      <w:rStyle w:val="Hyperlink"/>
                      <w:noProof/>
                    </w:rPr>
                    <w:t>Rapport de gestion intermédiaire</w:t>
                  </w:r>
                  <w:r w:rsidR="0067659C">
                    <w:rPr>
                      <w:noProof/>
                      <w:webHidden/>
                    </w:rPr>
                    <w:tab/>
                  </w:r>
                  <w:r w:rsidR="0067659C">
                    <w:rPr>
                      <w:noProof/>
                      <w:webHidden/>
                    </w:rPr>
                    <w:fldChar w:fldCharType="begin"/>
                  </w:r>
                  <w:r w:rsidR="0067659C">
                    <w:rPr>
                      <w:noProof/>
                      <w:webHidden/>
                    </w:rPr>
                    <w:instrText xml:space="preserve"> PAGEREF _Toc491768794 \h </w:instrText>
                  </w:r>
                  <w:r w:rsidR="0067659C">
                    <w:rPr>
                      <w:noProof/>
                      <w:webHidden/>
                    </w:rPr>
                  </w:r>
                  <w:r w:rsidR="0067659C">
                    <w:rPr>
                      <w:noProof/>
                      <w:webHidden/>
                    </w:rPr>
                    <w:fldChar w:fldCharType="separate"/>
                  </w:r>
                  <w:r w:rsidR="00913C04">
                    <w:rPr>
                      <w:noProof/>
                      <w:webHidden/>
                    </w:rPr>
                    <w:t>2</w:t>
                  </w:r>
                  <w:r w:rsidR="0067659C">
                    <w:rPr>
                      <w:noProof/>
                      <w:webHidden/>
                    </w:rPr>
                    <w:fldChar w:fldCharType="end"/>
                  </w:r>
                </w:hyperlink>
              </w:p>
              <w:p w:rsidR="0067659C" w:rsidRDefault="00913C04">
                <w:pPr>
                  <w:pStyle w:val="TOC1"/>
                  <w:tabs>
                    <w:tab w:val="left" w:pos="400"/>
                    <w:tab w:val="right" w:leader="dot" w:pos="9344"/>
                  </w:tabs>
                  <w:rPr>
                    <w:rFonts w:eastAsiaTheme="minorEastAsia"/>
                    <w:noProof/>
                    <w:color w:val="auto"/>
                    <w:lang w:val="en-GB" w:eastAsia="en-GB"/>
                  </w:rPr>
                </w:pPr>
                <w:hyperlink w:anchor="_Toc491768796" w:history="1">
                  <w:r w:rsidR="0067659C" w:rsidRPr="00AD340E">
                    <w:rPr>
                      <w:rStyle w:val="Hyperlink"/>
                      <w:noProof/>
                    </w:rPr>
                    <w:t>2.</w:t>
                  </w:r>
                  <w:r w:rsidR="0067659C">
                    <w:rPr>
                      <w:rFonts w:eastAsiaTheme="minorEastAsia"/>
                      <w:noProof/>
                      <w:color w:val="auto"/>
                      <w:lang w:val="en-GB" w:eastAsia="en-GB"/>
                    </w:rPr>
                    <w:tab/>
                  </w:r>
                  <w:r w:rsidR="0067659C" w:rsidRPr="00AD340E">
                    <w:rPr>
                      <w:rStyle w:val="Hyperlink"/>
                      <w:noProof/>
                    </w:rPr>
                    <w:t>États financiers consolidés intermédiaire abrégés</w:t>
                  </w:r>
                  <w:r w:rsidR="0067659C">
                    <w:rPr>
                      <w:noProof/>
                      <w:webHidden/>
                    </w:rPr>
                    <w:tab/>
                  </w:r>
                  <w:r w:rsidR="0067659C">
                    <w:rPr>
                      <w:noProof/>
                      <w:webHidden/>
                    </w:rPr>
                    <w:fldChar w:fldCharType="begin"/>
                  </w:r>
                  <w:r w:rsidR="0067659C">
                    <w:rPr>
                      <w:noProof/>
                      <w:webHidden/>
                    </w:rPr>
                    <w:instrText xml:space="preserve"> PAGEREF _Toc491768796 \h </w:instrText>
                  </w:r>
                  <w:r w:rsidR="0067659C">
                    <w:rPr>
                      <w:noProof/>
                      <w:webHidden/>
                    </w:rPr>
                  </w:r>
                  <w:r w:rsidR="0067659C">
                    <w:rPr>
                      <w:noProof/>
                      <w:webHidden/>
                    </w:rPr>
                    <w:fldChar w:fldCharType="separate"/>
                  </w:r>
                  <w:r>
                    <w:rPr>
                      <w:noProof/>
                      <w:webHidden/>
                    </w:rPr>
                    <w:t>19</w:t>
                  </w:r>
                  <w:r w:rsidR="0067659C">
                    <w:rPr>
                      <w:noProof/>
                      <w:webHidden/>
                    </w:rPr>
                    <w:fldChar w:fldCharType="end"/>
                  </w:r>
                </w:hyperlink>
              </w:p>
              <w:p w:rsidR="0067659C" w:rsidRDefault="00913C04">
                <w:pPr>
                  <w:pStyle w:val="TOC2"/>
                  <w:tabs>
                    <w:tab w:val="left" w:pos="880"/>
                    <w:tab w:val="right" w:leader="dot" w:pos="9344"/>
                  </w:tabs>
                  <w:rPr>
                    <w:rFonts w:eastAsiaTheme="minorEastAsia"/>
                    <w:noProof/>
                    <w:color w:val="auto"/>
                    <w:lang w:val="en-GB" w:eastAsia="en-GB"/>
                  </w:rPr>
                </w:pPr>
                <w:hyperlink w:anchor="_Toc491768797" w:history="1">
                  <w:r w:rsidR="0067659C" w:rsidRPr="00AD340E">
                    <w:rPr>
                      <w:rStyle w:val="Hyperlink"/>
                      <w:noProof/>
                    </w:rPr>
                    <w:t>2.a.</w:t>
                  </w:r>
                  <w:r w:rsidR="0067659C">
                    <w:rPr>
                      <w:rFonts w:eastAsiaTheme="minorEastAsia"/>
                      <w:noProof/>
                      <w:color w:val="auto"/>
                      <w:lang w:val="en-GB" w:eastAsia="en-GB"/>
                    </w:rPr>
                    <w:tab/>
                  </w:r>
                  <w:r w:rsidR="0067659C" w:rsidRPr="00AD340E">
                    <w:rPr>
                      <w:rStyle w:val="Hyperlink"/>
                      <w:noProof/>
                    </w:rPr>
                    <w:t>É</w:t>
                  </w:r>
                  <w:r w:rsidR="00596B87">
                    <w:rPr>
                      <w:rStyle w:val="Hyperlink"/>
                      <w:noProof/>
                    </w:rPr>
                    <w:t>tat consolidé du résultat global</w:t>
                  </w:r>
                  <w:r w:rsidR="0067659C" w:rsidRPr="00AD340E">
                    <w:rPr>
                      <w:rStyle w:val="Hyperlink"/>
                      <w:noProof/>
                    </w:rPr>
                    <w:t xml:space="preserve"> (en milliers €)</w:t>
                  </w:r>
                  <w:r w:rsidR="0067659C">
                    <w:rPr>
                      <w:noProof/>
                      <w:webHidden/>
                    </w:rPr>
                    <w:tab/>
                  </w:r>
                  <w:r w:rsidR="0067659C">
                    <w:rPr>
                      <w:noProof/>
                      <w:webHidden/>
                    </w:rPr>
                    <w:fldChar w:fldCharType="begin"/>
                  </w:r>
                  <w:r w:rsidR="0067659C">
                    <w:rPr>
                      <w:noProof/>
                      <w:webHidden/>
                    </w:rPr>
                    <w:instrText xml:space="preserve"> PAGEREF _Toc491768797 \h </w:instrText>
                  </w:r>
                  <w:r w:rsidR="0067659C">
                    <w:rPr>
                      <w:noProof/>
                      <w:webHidden/>
                    </w:rPr>
                  </w:r>
                  <w:r w:rsidR="0067659C">
                    <w:rPr>
                      <w:noProof/>
                      <w:webHidden/>
                    </w:rPr>
                    <w:fldChar w:fldCharType="separate"/>
                  </w:r>
                  <w:r>
                    <w:rPr>
                      <w:noProof/>
                      <w:webHidden/>
                    </w:rPr>
                    <w:t>19</w:t>
                  </w:r>
                  <w:r w:rsidR="0067659C">
                    <w:rPr>
                      <w:noProof/>
                      <w:webHidden/>
                    </w:rPr>
                    <w:fldChar w:fldCharType="end"/>
                  </w:r>
                </w:hyperlink>
              </w:p>
              <w:p w:rsidR="0067659C" w:rsidRDefault="00913C04">
                <w:pPr>
                  <w:pStyle w:val="TOC2"/>
                  <w:tabs>
                    <w:tab w:val="left" w:pos="880"/>
                    <w:tab w:val="right" w:leader="dot" w:pos="9344"/>
                  </w:tabs>
                  <w:rPr>
                    <w:rFonts w:eastAsiaTheme="minorEastAsia"/>
                    <w:noProof/>
                    <w:color w:val="auto"/>
                    <w:lang w:val="en-GB" w:eastAsia="en-GB"/>
                  </w:rPr>
                </w:pPr>
                <w:hyperlink w:anchor="_Toc491768798" w:history="1">
                  <w:r w:rsidR="0067659C" w:rsidRPr="00AD340E">
                    <w:rPr>
                      <w:rStyle w:val="Hyperlink"/>
                      <w:noProof/>
                    </w:rPr>
                    <w:t>2.b.</w:t>
                  </w:r>
                  <w:r w:rsidR="0067659C">
                    <w:rPr>
                      <w:rFonts w:eastAsiaTheme="minorEastAsia"/>
                      <w:noProof/>
                      <w:color w:val="auto"/>
                      <w:lang w:val="en-GB" w:eastAsia="en-GB"/>
                    </w:rPr>
                    <w:tab/>
                  </w:r>
                  <w:r w:rsidR="0067659C" w:rsidRPr="00AD340E">
                    <w:rPr>
                      <w:rStyle w:val="Hyperlink"/>
                      <w:noProof/>
                    </w:rPr>
                    <w:t>É</w:t>
                  </w:r>
                  <w:r w:rsidR="00596B87">
                    <w:rPr>
                      <w:rStyle w:val="Hyperlink"/>
                      <w:noProof/>
                    </w:rPr>
                    <w:t>tat consolidé de la situation financière</w:t>
                  </w:r>
                  <w:r w:rsidR="0067659C" w:rsidRPr="00AD340E">
                    <w:rPr>
                      <w:rStyle w:val="Hyperlink"/>
                      <w:noProof/>
                    </w:rPr>
                    <w:t xml:space="preserve"> (en milliers €)</w:t>
                  </w:r>
                  <w:r w:rsidR="0067659C">
                    <w:rPr>
                      <w:noProof/>
                      <w:webHidden/>
                    </w:rPr>
                    <w:tab/>
                  </w:r>
                  <w:r w:rsidR="0067659C">
                    <w:rPr>
                      <w:noProof/>
                      <w:webHidden/>
                    </w:rPr>
                    <w:fldChar w:fldCharType="begin"/>
                  </w:r>
                  <w:r w:rsidR="0067659C">
                    <w:rPr>
                      <w:noProof/>
                      <w:webHidden/>
                    </w:rPr>
                    <w:instrText xml:space="preserve"> PAGEREF _Toc491768798 \h </w:instrText>
                  </w:r>
                  <w:r w:rsidR="0067659C">
                    <w:rPr>
                      <w:noProof/>
                      <w:webHidden/>
                    </w:rPr>
                  </w:r>
                  <w:r w:rsidR="0067659C">
                    <w:rPr>
                      <w:noProof/>
                      <w:webHidden/>
                    </w:rPr>
                    <w:fldChar w:fldCharType="separate"/>
                  </w:r>
                  <w:r>
                    <w:rPr>
                      <w:noProof/>
                      <w:webHidden/>
                    </w:rPr>
                    <w:t>20</w:t>
                  </w:r>
                  <w:r w:rsidR="0067659C">
                    <w:rPr>
                      <w:noProof/>
                      <w:webHidden/>
                    </w:rPr>
                    <w:fldChar w:fldCharType="end"/>
                  </w:r>
                </w:hyperlink>
              </w:p>
              <w:p w:rsidR="0067659C" w:rsidRDefault="00913C04">
                <w:pPr>
                  <w:pStyle w:val="TOC2"/>
                  <w:tabs>
                    <w:tab w:val="left" w:pos="880"/>
                    <w:tab w:val="right" w:leader="dot" w:pos="9344"/>
                  </w:tabs>
                  <w:rPr>
                    <w:rFonts w:eastAsiaTheme="minorEastAsia"/>
                    <w:noProof/>
                    <w:color w:val="auto"/>
                    <w:lang w:val="en-GB" w:eastAsia="en-GB"/>
                  </w:rPr>
                </w:pPr>
                <w:hyperlink w:anchor="_Toc491768799" w:history="1">
                  <w:r w:rsidR="0067659C" w:rsidRPr="00AD340E">
                    <w:rPr>
                      <w:rStyle w:val="Hyperlink"/>
                      <w:noProof/>
                    </w:rPr>
                    <w:t>2.c.</w:t>
                  </w:r>
                  <w:r w:rsidR="0067659C">
                    <w:rPr>
                      <w:rFonts w:eastAsiaTheme="minorEastAsia"/>
                      <w:noProof/>
                      <w:color w:val="auto"/>
                      <w:lang w:val="en-GB" w:eastAsia="en-GB"/>
                    </w:rPr>
                    <w:tab/>
                  </w:r>
                  <w:r w:rsidR="0067659C" w:rsidRPr="00AD340E">
                    <w:rPr>
                      <w:rStyle w:val="Hyperlink"/>
                      <w:noProof/>
                    </w:rPr>
                    <w:t>É</w:t>
                  </w:r>
                  <w:r w:rsidR="00596B87">
                    <w:rPr>
                      <w:rStyle w:val="Hyperlink"/>
                      <w:noProof/>
                    </w:rPr>
                    <w:t xml:space="preserve">tat consolidé des flux de trésorerie </w:t>
                  </w:r>
                  <w:r w:rsidR="0067659C" w:rsidRPr="00AD340E">
                    <w:rPr>
                      <w:rStyle w:val="Hyperlink"/>
                      <w:noProof/>
                    </w:rPr>
                    <w:t>(en milliers €)</w:t>
                  </w:r>
                  <w:r w:rsidR="0067659C">
                    <w:rPr>
                      <w:noProof/>
                      <w:webHidden/>
                    </w:rPr>
                    <w:tab/>
                  </w:r>
                  <w:r w:rsidR="0067659C">
                    <w:rPr>
                      <w:noProof/>
                      <w:webHidden/>
                    </w:rPr>
                    <w:fldChar w:fldCharType="begin"/>
                  </w:r>
                  <w:r w:rsidR="0067659C">
                    <w:rPr>
                      <w:noProof/>
                      <w:webHidden/>
                    </w:rPr>
                    <w:instrText xml:space="preserve"> PAGEREF _Toc491768799 \h </w:instrText>
                  </w:r>
                  <w:r w:rsidR="0067659C">
                    <w:rPr>
                      <w:noProof/>
                      <w:webHidden/>
                    </w:rPr>
                  </w:r>
                  <w:r w:rsidR="0067659C">
                    <w:rPr>
                      <w:noProof/>
                      <w:webHidden/>
                    </w:rPr>
                    <w:fldChar w:fldCharType="separate"/>
                  </w:r>
                  <w:r>
                    <w:rPr>
                      <w:noProof/>
                      <w:webHidden/>
                    </w:rPr>
                    <w:t>21</w:t>
                  </w:r>
                  <w:r w:rsidR="0067659C">
                    <w:rPr>
                      <w:noProof/>
                      <w:webHidden/>
                    </w:rPr>
                    <w:fldChar w:fldCharType="end"/>
                  </w:r>
                </w:hyperlink>
              </w:p>
              <w:p w:rsidR="0067659C" w:rsidRDefault="00913C04">
                <w:pPr>
                  <w:pStyle w:val="TOC2"/>
                  <w:tabs>
                    <w:tab w:val="left" w:pos="880"/>
                    <w:tab w:val="right" w:leader="dot" w:pos="9344"/>
                  </w:tabs>
                  <w:rPr>
                    <w:rFonts w:eastAsiaTheme="minorEastAsia"/>
                    <w:noProof/>
                    <w:color w:val="auto"/>
                    <w:lang w:val="en-GB" w:eastAsia="en-GB"/>
                  </w:rPr>
                </w:pPr>
                <w:hyperlink w:anchor="_Toc491768800" w:history="1">
                  <w:r w:rsidR="0067659C" w:rsidRPr="00AD340E">
                    <w:rPr>
                      <w:rStyle w:val="Hyperlink"/>
                      <w:noProof/>
                    </w:rPr>
                    <w:t>2.d.</w:t>
                  </w:r>
                  <w:r w:rsidR="0067659C">
                    <w:rPr>
                      <w:rFonts w:eastAsiaTheme="minorEastAsia"/>
                      <w:noProof/>
                      <w:color w:val="auto"/>
                      <w:lang w:val="en-GB" w:eastAsia="en-GB"/>
                    </w:rPr>
                    <w:tab/>
                  </w:r>
                  <w:r w:rsidR="0067659C" w:rsidRPr="00AD340E">
                    <w:rPr>
                      <w:rStyle w:val="Hyperlink"/>
                      <w:noProof/>
                    </w:rPr>
                    <w:t>É</w:t>
                  </w:r>
                  <w:r w:rsidR="00596B87">
                    <w:rPr>
                      <w:rStyle w:val="Hyperlink"/>
                      <w:noProof/>
                    </w:rPr>
                    <w:t>tat consolidé des variations des capitaux propres</w:t>
                  </w:r>
                  <w:r w:rsidR="0067659C" w:rsidRPr="00AD340E">
                    <w:rPr>
                      <w:rStyle w:val="Hyperlink"/>
                      <w:noProof/>
                    </w:rPr>
                    <w:t xml:space="preserve"> (en milliers €)</w:t>
                  </w:r>
                  <w:r w:rsidR="0067659C">
                    <w:rPr>
                      <w:noProof/>
                      <w:webHidden/>
                    </w:rPr>
                    <w:tab/>
                  </w:r>
                  <w:r w:rsidR="0067659C">
                    <w:rPr>
                      <w:noProof/>
                      <w:webHidden/>
                    </w:rPr>
                    <w:fldChar w:fldCharType="begin"/>
                  </w:r>
                  <w:r w:rsidR="0067659C">
                    <w:rPr>
                      <w:noProof/>
                      <w:webHidden/>
                    </w:rPr>
                    <w:instrText xml:space="preserve"> PAGEREF _Toc491768800 \h </w:instrText>
                  </w:r>
                  <w:r w:rsidR="0067659C">
                    <w:rPr>
                      <w:noProof/>
                      <w:webHidden/>
                    </w:rPr>
                  </w:r>
                  <w:r w:rsidR="0067659C">
                    <w:rPr>
                      <w:noProof/>
                      <w:webHidden/>
                    </w:rPr>
                    <w:fldChar w:fldCharType="separate"/>
                  </w:r>
                  <w:r>
                    <w:rPr>
                      <w:noProof/>
                      <w:webHidden/>
                    </w:rPr>
                    <w:t>22</w:t>
                  </w:r>
                  <w:r w:rsidR="0067659C">
                    <w:rPr>
                      <w:noProof/>
                      <w:webHidden/>
                    </w:rPr>
                    <w:fldChar w:fldCharType="end"/>
                  </w:r>
                </w:hyperlink>
              </w:p>
              <w:p w:rsidR="0067659C" w:rsidRDefault="00913C04">
                <w:pPr>
                  <w:pStyle w:val="TOC2"/>
                  <w:tabs>
                    <w:tab w:val="left" w:pos="880"/>
                    <w:tab w:val="right" w:leader="dot" w:pos="9344"/>
                  </w:tabs>
                  <w:rPr>
                    <w:rFonts w:eastAsiaTheme="minorEastAsia"/>
                    <w:noProof/>
                    <w:color w:val="auto"/>
                    <w:lang w:val="en-GB" w:eastAsia="en-GB"/>
                  </w:rPr>
                </w:pPr>
                <w:hyperlink w:anchor="_Toc491768801" w:history="1">
                  <w:r w:rsidR="0067659C" w:rsidRPr="00AD340E">
                    <w:rPr>
                      <w:rStyle w:val="Hyperlink"/>
                      <w:noProof/>
                    </w:rPr>
                    <w:t>2.e.</w:t>
                  </w:r>
                  <w:r w:rsidR="0067659C">
                    <w:rPr>
                      <w:rFonts w:eastAsiaTheme="minorEastAsia"/>
                      <w:noProof/>
                      <w:color w:val="auto"/>
                      <w:lang w:val="en-GB" w:eastAsia="en-GB"/>
                    </w:rPr>
                    <w:tab/>
                  </w:r>
                  <w:r w:rsidR="0067659C" w:rsidRPr="00AD340E">
                    <w:rPr>
                      <w:rStyle w:val="Hyperlink"/>
                      <w:noProof/>
                    </w:rPr>
                    <w:t>N</w:t>
                  </w:r>
                  <w:r w:rsidR="00596B87">
                    <w:rPr>
                      <w:rStyle w:val="Hyperlink"/>
                      <w:noProof/>
                    </w:rPr>
                    <w:t>otes sur les états financiers consolidés intermédiaires abrégés</w:t>
                  </w:r>
                  <w:r w:rsidR="0067659C">
                    <w:rPr>
                      <w:noProof/>
                      <w:webHidden/>
                    </w:rPr>
                    <w:tab/>
                  </w:r>
                  <w:r w:rsidR="0067659C">
                    <w:rPr>
                      <w:noProof/>
                      <w:webHidden/>
                    </w:rPr>
                    <w:fldChar w:fldCharType="begin"/>
                  </w:r>
                  <w:r w:rsidR="0067659C">
                    <w:rPr>
                      <w:noProof/>
                      <w:webHidden/>
                    </w:rPr>
                    <w:instrText xml:space="preserve"> PAGEREF _Toc491768801 \h </w:instrText>
                  </w:r>
                  <w:r w:rsidR="0067659C">
                    <w:rPr>
                      <w:noProof/>
                      <w:webHidden/>
                    </w:rPr>
                  </w:r>
                  <w:r w:rsidR="0067659C">
                    <w:rPr>
                      <w:noProof/>
                      <w:webHidden/>
                    </w:rPr>
                    <w:fldChar w:fldCharType="separate"/>
                  </w:r>
                  <w:r>
                    <w:rPr>
                      <w:noProof/>
                      <w:webHidden/>
                    </w:rPr>
                    <w:t>23</w:t>
                  </w:r>
                  <w:r w:rsidR="0067659C">
                    <w:rPr>
                      <w:noProof/>
                      <w:webHidden/>
                    </w:rPr>
                    <w:fldChar w:fldCharType="end"/>
                  </w:r>
                </w:hyperlink>
              </w:p>
              <w:p w:rsidR="0067659C" w:rsidRDefault="00913C04">
                <w:pPr>
                  <w:pStyle w:val="TOC1"/>
                  <w:tabs>
                    <w:tab w:val="left" w:pos="400"/>
                    <w:tab w:val="right" w:leader="dot" w:pos="9344"/>
                  </w:tabs>
                  <w:rPr>
                    <w:rFonts w:eastAsiaTheme="minorEastAsia"/>
                    <w:noProof/>
                    <w:color w:val="auto"/>
                    <w:lang w:val="en-GB" w:eastAsia="en-GB"/>
                  </w:rPr>
                </w:pPr>
                <w:hyperlink w:anchor="_Toc491768802" w:history="1">
                  <w:r w:rsidR="0067659C" w:rsidRPr="00AD340E">
                    <w:rPr>
                      <w:rStyle w:val="Hyperlink"/>
                      <w:noProof/>
                    </w:rPr>
                    <w:t>3.</w:t>
                  </w:r>
                  <w:r w:rsidR="0067659C">
                    <w:rPr>
                      <w:rFonts w:eastAsiaTheme="minorEastAsia"/>
                      <w:noProof/>
                      <w:color w:val="auto"/>
                      <w:lang w:val="en-GB" w:eastAsia="en-GB"/>
                    </w:rPr>
                    <w:tab/>
                  </w:r>
                  <w:r w:rsidR="0067659C" w:rsidRPr="00AD340E">
                    <w:rPr>
                      <w:rStyle w:val="Hyperlink"/>
                      <w:noProof/>
                    </w:rPr>
                    <w:t>Déclaration des personnes reponsables</w:t>
                  </w:r>
                  <w:r w:rsidR="0067659C">
                    <w:rPr>
                      <w:noProof/>
                      <w:webHidden/>
                    </w:rPr>
                    <w:tab/>
                  </w:r>
                  <w:r w:rsidR="0067659C">
                    <w:rPr>
                      <w:noProof/>
                      <w:webHidden/>
                    </w:rPr>
                    <w:fldChar w:fldCharType="begin"/>
                  </w:r>
                  <w:r w:rsidR="0067659C">
                    <w:rPr>
                      <w:noProof/>
                      <w:webHidden/>
                    </w:rPr>
                    <w:instrText xml:space="preserve"> PAGEREF _Toc491768802 \h </w:instrText>
                  </w:r>
                  <w:r w:rsidR="0067659C">
                    <w:rPr>
                      <w:noProof/>
                      <w:webHidden/>
                    </w:rPr>
                  </w:r>
                  <w:r w:rsidR="0067659C">
                    <w:rPr>
                      <w:noProof/>
                      <w:webHidden/>
                    </w:rPr>
                    <w:fldChar w:fldCharType="separate"/>
                  </w:r>
                  <w:r>
                    <w:rPr>
                      <w:noProof/>
                      <w:webHidden/>
                    </w:rPr>
                    <w:t>42</w:t>
                  </w:r>
                  <w:r w:rsidR="0067659C">
                    <w:rPr>
                      <w:noProof/>
                      <w:webHidden/>
                    </w:rPr>
                    <w:fldChar w:fldCharType="end"/>
                  </w:r>
                </w:hyperlink>
              </w:p>
              <w:p w:rsidR="0067659C" w:rsidRDefault="00913C04">
                <w:pPr>
                  <w:pStyle w:val="TOC1"/>
                  <w:tabs>
                    <w:tab w:val="left" w:pos="400"/>
                    <w:tab w:val="right" w:leader="dot" w:pos="9344"/>
                  </w:tabs>
                  <w:rPr>
                    <w:rFonts w:eastAsiaTheme="minorEastAsia"/>
                    <w:noProof/>
                    <w:color w:val="auto"/>
                    <w:lang w:val="en-GB" w:eastAsia="en-GB"/>
                  </w:rPr>
                </w:pPr>
                <w:hyperlink w:anchor="_Toc491768803" w:history="1">
                  <w:r w:rsidR="0067659C" w:rsidRPr="00AD340E">
                    <w:rPr>
                      <w:rStyle w:val="Hyperlink"/>
                      <w:noProof/>
                    </w:rPr>
                    <w:t>4.</w:t>
                  </w:r>
                  <w:r w:rsidR="0067659C">
                    <w:rPr>
                      <w:rFonts w:eastAsiaTheme="minorEastAsia"/>
                      <w:noProof/>
                      <w:color w:val="auto"/>
                      <w:lang w:val="en-GB" w:eastAsia="en-GB"/>
                    </w:rPr>
                    <w:tab/>
                  </w:r>
                  <w:r w:rsidR="0067659C" w:rsidRPr="00AD340E">
                    <w:rPr>
                      <w:rStyle w:val="Hyperlink"/>
                      <w:noProof/>
                    </w:rPr>
                    <w:t>Rapport du Commisaire</w:t>
                  </w:r>
                  <w:r w:rsidR="0067659C">
                    <w:rPr>
                      <w:noProof/>
                      <w:webHidden/>
                    </w:rPr>
                    <w:tab/>
                  </w:r>
                  <w:r w:rsidR="0067659C">
                    <w:rPr>
                      <w:noProof/>
                      <w:webHidden/>
                    </w:rPr>
                    <w:fldChar w:fldCharType="begin"/>
                  </w:r>
                  <w:r w:rsidR="0067659C">
                    <w:rPr>
                      <w:noProof/>
                      <w:webHidden/>
                    </w:rPr>
                    <w:instrText xml:space="preserve"> PAGEREF _Toc491768803 \h </w:instrText>
                  </w:r>
                  <w:r w:rsidR="0067659C">
                    <w:rPr>
                      <w:noProof/>
                      <w:webHidden/>
                    </w:rPr>
                  </w:r>
                  <w:r w:rsidR="0067659C">
                    <w:rPr>
                      <w:noProof/>
                      <w:webHidden/>
                    </w:rPr>
                    <w:fldChar w:fldCharType="separate"/>
                  </w:r>
                  <w:r>
                    <w:rPr>
                      <w:noProof/>
                      <w:webHidden/>
                    </w:rPr>
                    <w:t>43</w:t>
                  </w:r>
                  <w:r w:rsidR="0067659C">
                    <w:rPr>
                      <w:noProof/>
                      <w:webHidden/>
                    </w:rPr>
                    <w:fldChar w:fldCharType="end"/>
                  </w:r>
                </w:hyperlink>
              </w:p>
              <w:p w:rsidR="00CA5ECB" w:rsidRDefault="00CA5ECB" w:rsidP="00CA5ECB">
                <w:r>
                  <w:fldChar w:fldCharType="end"/>
                </w:r>
              </w:p>
            </w:sdtContent>
          </w:sdt>
        </w:tc>
      </w:tr>
    </w:tbl>
    <w:p w:rsidR="009F3F41" w:rsidRDefault="009F3F41">
      <w:pPr>
        <w:spacing w:after="80"/>
        <w:jc w:val="left"/>
      </w:pPr>
      <w:r>
        <w:br w:type="page"/>
      </w:r>
    </w:p>
    <w:p w:rsidR="009F3F41" w:rsidRPr="00A41CF5" w:rsidRDefault="009F3F41" w:rsidP="00841A2B">
      <w:pPr>
        <w:pStyle w:val="Heading1"/>
      </w:pPr>
      <w:bookmarkStart w:id="0" w:name="_Toc491768794"/>
      <w:r w:rsidRPr="00A41CF5">
        <w:lastRenderedPageBreak/>
        <w:t>Rapport de gestion intermédiaire</w:t>
      </w:r>
      <w:bookmarkEnd w:id="0"/>
    </w:p>
    <w:p w:rsidR="009F3F41" w:rsidRDefault="009F3F41" w:rsidP="00FE5D19">
      <w:pPr>
        <w:pStyle w:val="Heading3"/>
      </w:pPr>
      <w:r>
        <w:t xml:space="preserve">Faits marquants </w:t>
      </w:r>
    </w:p>
    <w:p w:rsidR="00A32B97" w:rsidRPr="00A32B97" w:rsidRDefault="00A32B97" w:rsidP="00A32B97">
      <w:pPr>
        <w:pStyle w:val="ListParagraph"/>
      </w:pPr>
      <w:r w:rsidRPr="00A32B97">
        <w:t>Le Groupe affiche un résultat net de 5,3 MEUR pour le premier semestre 2017</w:t>
      </w:r>
    </w:p>
    <w:p w:rsidR="00A32B97" w:rsidRPr="00A32B97" w:rsidRDefault="00A32B97" w:rsidP="00A32B97">
      <w:pPr>
        <w:pStyle w:val="ListParagraph"/>
      </w:pPr>
      <w:r w:rsidRPr="00A32B97">
        <w:t>IMMOBEL a lancé de nombreux nouveaux projets résidentiels tels que : Erne</w:t>
      </w:r>
      <w:r w:rsidR="00464B04">
        <w:t xml:space="preserve">st the Park, </w:t>
      </w:r>
      <w:proofErr w:type="spellStart"/>
      <w:r w:rsidR="00464B04">
        <w:t>Greenhill</w:t>
      </w:r>
      <w:proofErr w:type="spellEnd"/>
      <w:r w:rsidR="00464B04">
        <w:t xml:space="preserve"> Park, </w:t>
      </w:r>
      <w:proofErr w:type="spellStart"/>
      <w:r w:rsidR="00464B04">
        <w:t>O’S</w:t>
      </w:r>
      <w:r w:rsidRPr="00A32B97">
        <w:t>ea</w:t>
      </w:r>
      <w:proofErr w:type="spellEnd"/>
      <w:r w:rsidRPr="00A32B97">
        <w:t xml:space="preserve">, Parc </w:t>
      </w:r>
      <w:proofErr w:type="spellStart"/>
      <w:r w:rsidRPr="00A32B97">
        <w:t>Seny</w:t>
      </w:r>
      <w:proofErr w:type="spellEnd"/>
      <w:r w:rsidRPr="00A32B97">
        <w:t xml:space="preserve">, </w:t>
      </w:r>
      <w:proofErr w:type="spellStart"/>
      <w:r w:rsidRPr="00A32B97">
        <w:t>Universalis</w:t>
      </w:r>
      <w:proofErr w:type="spellEnd"/>
      <w:r w:rsidRPr="00A32B97">
        <w:t xml:space="preserve"> Park, </w:t>
      </w:r>
      <w:proofErr w:type="spellStart"/>
      <w:r w:rsidRPr="00A32B97">
        <w:t>Infinity</w:t>
      </w:r>
      <w:proofErr w:type="spellEnd"/>
      <w:r w:rsidRPr="00A32B97">
        <w:t xml:space="preserve">, </w:t>
      </w:r>
      <w:proofErr w:type="spellStart"/>
      <w:r w:rsidRPr="00A32B97">
        <w:t>Granary</w:t>
      </w:r>
      <w:proofErr w:type="spellEnd"/>
      <w:r w:rsidRPr="00A32B97">
        <w:t xml:space="preserve"> Island, ….</w:t>
      </w:r>
    </w:p>
    <w:p w:rsidR="00A32B97" w:rsidRPr="00A32B97" w:rsidRDefault="00A32B97" w:rsidP="00A32B97">
      <w:pPr>
        <w:pStyle w:val="ListParagraph"/>
      </w:pPr>
      <w:r w:rsidRPr="00A32B97">
        <w:t>Les chiffres de vente résidentielle battent tous les records avec une moyenne de 12,25 MEUR par mois sur le premier semestre</w:t>
      </w:r>
    </w:p>
    <w:p w:rsidR="0022627D" w:rsidRPr="0022627D" w:rsidRDefault="0022627D" w:rsidP="0022627D">
      <w:pPr>
        <w:pStyle w:val="Heading3"/>
        <w:rPr>
          <w:rFonts w:asciiTheme="minorHAnsi" w:eastAsiaTheme="minorHAnsi" w:hAnsiTheme="minorHAnsi" w:cstheme="minorBidi"/>
          <w:b w:val="0"/>
          <w:color w:val="626261"/>
          <w:sz w:val="22"/>
          <w:szCs w:val="22"/>
        </w:rPr>
      </w:pPr>
      <w:r w:rsidRPr="0022627D">
        <w:rPr>
          <w:rFonts w:asciiTheme="minorHAnsi" w:eastAsiaTheme="minorHAnsi" w:hAnsiTheme="minorHAnsi" w:cstheme="minorBidi"/>
          <w:b w:val="0"/>
          <w:color w:val="626261"/>
          <w:sz w:val="22"/>
          <w:szCs w:val="22"/>
        </w:rPr>
        <w:t xml:space="preserve">Le Groupe IMMOBEL publie ses résultats semestriels : un chiffre en baisse mais en ligne avec les prévisions. Avec un résultat net de 5,3 MEUR, IMMOBEL confirme sa position. « </w:t>
      </w:r>
      <w:r w:rsidRPr="00A51BEE">
        <w:rPr>
          <w:rFonts w:asciiTheme="minorHAnsi" w:eastAsiaTheme="minorHAnsi" w:hAnsiTheme="minorHAnsi" w:cstheme="minorBidi"/>
          <w:b w:val="0"/>
          <w:i/>
          <w:color w:val="626261"/>
          <w:sz w:val="22"/>
          <w:szCs w:val="22"/>
        </w:rPr>
        <w:t>Nous avons toujours envisagé 2017 comme une année de transition, annonciatrice de récoltes fructueuses dès 2018</w:t>
      </w:r>
      <w:r w:rsidRPr="0022627D">
        <w:rPr>
          <w:rFonts w:asciiTheme="minorHAnsi" w:eastAsiaTheme="minorHAnsi" w:hAnsiTheme="minorHAnsi" w:cstheme="minorBidi"/>
          <w:b w:val="0"/>
          <w:color w:val="626261"/>
          <w:sz w:val="22"/>
          <w:szCs w:val="22"/>
        </w:rPr>
        <w:t xml:space="preserve">. » explique Marnix Galle, </w:t>
      </w:r>
      <w:proofErr w:type="spellStart"/>
      <w:r w:rsidRPr="0022627D">
        <w:rPr>
          <w:rFonts w:asciiTheme="minorHAnsi" w:eastAsiaTheme="minorHAnsi" w:hAnsiTheme="minorHAnsi" w:cstheme="minorBidi"/>
          <w:b w:val="0"/>
          <w:color w:val="626261"/>
          <w:sz w:val="22"/>
          <w:szCs w:val="22"/>
        </w:rPr>
        <w:t>Executive</w:t>
      </w:r>
      <w:proofErr w:type="spellEnd"/>
      <w:r w:rsidRPr="0022627D">
        <w:rPr>
          <w:rFonts w:asciiTheme="minorHAnsi" w:eastAsiaTheme="minorHAnsi" w:hAnsiTheme="minorHAnsi" w:cstheme="minorBidi"/>
          <w:b w:val="0"/>
          <w:color w:val="626261"/>
          <w:sz w:val="22"/>
          <w:szCs w:val="22"/>
        </w:rPr>
        <w:t xml:space="preserve"> Chairman du Groupe, « </w:t>
      </w:r>
      <w:r w:rsidRPr="00DD690A">
        <w:rPr>
          <w:rFonts w:asciiTheme="minorHAnsi" w:eastAsiaTheme="minorHAnsi" w:hAnsiTheme="minorHAnsi" w:cstheme="minorBidi"/>
          <w:b w:val="0"/>
          <w:i/>
          <w:color w:val="626261"/>
          <w:sz w:val="22"/>
          <w:szCs w:val="22"/>
        </w:rPr>
        <w:t>Dans chaque cycle il y a des années de transition et il faut souvent reculer pour mieux sauter</w:t>
      </w:r>
      <w:r w:rsidRPr="0022627D">
        <w:rPr>
          <w:rFonts w:asciiTheme="minorHAnsi" w:eastAsiaTheme="minorHAnsi" w:hAnsiTheme="minorHAnsi" w:cstheme="minorBidi"/>
          <w:b w:val="0"/>
          <w:color w:val="626261"/>
          <w:sz w:val="22"/>
          <w:szCs w:val="22"/>
        </w:rPr>
        <w:t xml:space="preserve"> » poursuit-il.</w:t>
      </w:r>
    </w:p>
    <w:p w:rsidR="0022627D" w:rsidRDefault="0022627D" w:rsidP="0022627D">
      <w:pPr>
        <w:pStyle w:val="Heading3"/>
        <w:rPr>
          <w:rFonts w:asciiTheme="minorHAnsi" w:eastAsiaTheme="minorHAnsi" w:hAnsiTheme="minorHAnsi" w:cstheme="minorBidi"/>
          <w:b w:val="0"/>
          <w:color w:val="626261"/>
          <w:sz w:val="22"/>
          <w:szCs w:val="22"/>
        </w:rPr>
      </w:pPr>
      <w:r w:rsidRPr="0022627D">
        <w:rPr>
          <w:rFonts w:asciiTheme="minorHAnsi" w:eastAsiaTheme="minorHAnsi" w:hAnsiTheme="minorHAnsi" w:cstheme="minorBidi"/>
          <w:b w:val="0"/>
          <w:color w:val="626261"/>
          <w:sz w:val="22"/>
          <w:szCs w:val="22"/>
        </w:rPr>
        <w:t xml:space="preserve">En effet, ce montant illustre l’actualité d’IMMOBEL qui a depuis janvier, lancé de nombreux projets résidentiels et ne jouit pas encore des résultats envisagés par les ventes de ses projets de bureaux qui porteront </w:t>
      </w:r>
      <w:r w:rsidR="00464B04">
        <w:rPr>
          <w:rFonts w:asciiTheme="minorHAnsi" w:eastAsiaTheme="minorHAnsi" w:hAnsiTheme="minorHAnsi" w:cstheme="minorBidi"/>
          <w:b w:val="0"/>
          <w:color w:val="626261"/>
          <w:sz w:val="22"/>
          <w:szCs w:val="22"/>
        </w:rPr>
        <w:t>leurs</w:t>
      </w:r>
      <w:r w:rsidRPr="0022627D">
        <w:rPr>
          <w:rFonts w:asciiTheme="minorHAnsi" w:eastAsiaTheme="minorHAnsi" w:hAnsiTheme="minorHAnsi" w:cstheme="minorBidi"/>
          <w:b w:val="0"/>
          <w:color w:val="626261"/>
          <w:sz w:val="22"/>
          <w:szCs w:val="22"/>
        </w:rPr>
        <w:t xml:space="preserve"> fruits dès 2018. </w:t>
      </w:r>
      <w:r w:rsidRPr="00A51BEE">
        <w:rPr>
          <w:rFonts w:asciiTheme="minorHAnsi" w:eastAsiaTheme="minorHAnsi" w:hAnsiTheme="minorHAnsi" w:cstheme="minorBidi"/>
          <w:b w:val="0"/>
          <w:i/>
          <w:color w:val="626261"/>
          <w:sz w:val="22"/>
          <w:szCs w:val="22"/>
        </w:rPr>
        <w:t>« Un bâtiment ne peut être vendu qu’une seule fois » déclare Marnix Galle. « Le fait qu’en 2016 nous étions en avance sur notre Business Plan Quinquennal est plutôt encourageant, mais a pour conséquence que 2017 sera une année de transition, moins riche en résultats, où nous sèmerons davantage que nous ne récolterons.</w:t>
      </w:r>
      <w:r w:rsidRPr="0022627D">
        <w:rPr>
          <w:rFonts w:asciiTheme="minorHAnsi" w:eastAsiaTheme="minorHAnsi" w:hAnsiTheme="minorHAnsi" w:cstheme="minorBidi"/>
          <w:b w:val="0"/>
          <w:color w:val="626261"/>
          <w:sz w:val="22"/>
          <w:szCs w:val="22"/>
        </w:rPr>
        <w:t xml:space="preserve"> » ajoute-t-il.</w:t>
      </w:r>
    </w:p>
    <w:p w:rsidR="00A32B97" w:rsidRPr="00A32B97" w:rsidRDefault="009A4E61" w:rsidP="0022627D">
      <w:pPr>
        <w:pStyle w:val="Heading3"/>
      </w:pPr>
      <w:r>
        <w:t>2017, une année d’investissements</w:t>
      </w:r>
    </w:p>
    <w:p w:rsidR="0022627D" w:rsidRPr="00033729" w:rsidRDefault="0022627D" w:rsidP="0022627D">
      <w:r w:rsidRPr="00414538">
        <w:t xml:space="preserve">Le lancement d’une série de 7 projets résidentiels importants (154.200 m²) </w:t>
      </w:r>
      <w:r>
        <w:t>a eu lieu</w:t>
      </w:r>
      <w:r w:rsidRPr="00414538">
        <w:t xml:space="preserve"> au cours de ce premier semestre : Ernest the Park, </w:t>
      </w:r>
      <w:proofErr w:type="spellStart"/>
      <w:r w:rsidRPr="00414538">
        <w:t>Greenhill</w:t>
      </w:r>
      <w:proofErr w:type="spellEnd"/>
      <w:r w:rsidRPr="00414538">
        <w:t xml:space="preserve"> Park, </w:t>
      </w:r>
      <w:proofErr w:type="spellStart"/>
      <w:r w:rsidRPr="00414538">
        <w:t>Universalis</w:t>
      </w:r>
      <w:proofErr w:type="spellEnd"/>
      <w:r w:rsidRPr="00414538">
        <w:t xml:space="preserve"> Park et Parc </w:t>
      </w:r>
      <w:proofErr w:type="spellStart"/>
      <w:r w:rsidRPr="00414538">
        <w:t>Seny</w:t>
      </w:r>
      <w:proofErr w:type="spellEnd"/>
      <w:r w:rsidRPr="00414538">
        <w:t xml:space="preserve"> à Bruxelles, </w:t>
      </w:r>
      <w:proofErr w:type="spellStart"/>
      <w:r w:rsidRPr="00414538">
        <w:t>O’Sea</w:t>
      </w:r>
      <w:proofErr w:type="spellEnd"/>
      <w:r w:rsidRPr="00414538">
        <w:t xml:space="preserve"> à la côte, </w:t>
      </w:r>
      <w:proofErr w:type="spellStart"/>
      <w:r w:rsidRPr="00414538">
        <w:t>Infinity</w:t>
      </w:r>
      <w:proofErr w:type="spellEnd"/>
      <w:r w:rsidRPr="00414538">
        <w:t xml:space="preserve"> sur le plateau du Kirchberg à Luxembourg et </w:t>
      </w:r>
      <w:proofErr w:type="spellStart"/>
      <w:r w:rsidRPr="00414538">
        <w:t>Granary</w:t>
      </w:r>
      <w:proofErr w:type="spellEnd"/>
      <w:r w:rsidRPr="00414538">
        <w:t xml:space="preserve"> Island en Pologne. </w:t>
      </w:r>
      <w:r w:rsidRPr="00414538">
        <w:rPr>
          <w:rStyle w:val="Emphasis"/>
        </w:rPr>
        <w:t>« Un premier semestre riche en projets qui démarrent mais dont la contribution aux résultats reste limitée puisqu’IMMOBEL récolte la marge sur la construction au fur et à mesure de l’avancement du chantier »</w:t>
      </w:r>
      <w:r w:rsidRPr="00414538">
        <w:t xml:space="preserve"> souligne Alexander Hodac, CEO du Groupe. Par ailleurs, la réception et la location du siège </w:t>
      </w:r>
      <w:r w:rsidR="00464B04">
        <w:t>principal</w:t>
      </w:r>
      <w:r w:rsidRPr="00414538">
        <w:t xml:space="preserve"> d’ING Luxembourg (Galerie </w:t>
      </w:r>
      <w:proofErr w:type="spellStart"/>
      <w:r w:rsidRPr="00414538">
        <w:t>Kons</w:t>
      </w:r>
      <w:proofErr w:type="spellEnd"/>
      <w:r w:rsidRPr="00414538">
        <w:t>), ainsi que la vente à AXA, finalisées en mars ne génèrent pas de marge car ce projet a fait l’objet d’une revalorisation enregistrée directement dans les fonds propres.</w:t>
      </w:r>
    </w:p>
    <w:p w:rsidR="0022627D" w:rsidRPr="00414538" w:rsidRDefault="0022627D" w:rsidP="0022627D">
      <w:r w:rsidRPr="00414538">
        <w:t>L</w:t>
      </w:r>
      <w:r>
        <w:t>e département</w:t>
      </w:r>
      <w:r w:rsidRPr="00414538">
        <w:t xml:space="preserve"> </w:t>
      </w:r>
      <w:proofErr w:type="spellStart"/>
      <w:r w:rsidRPr="00414538">
        <w:t>Landbanking</w:t>
      </w:r>
      <w:proofErr w:type="spellEnd"/>
      <w:r w:rsidRPr="00414538">
        <w:t xml:space="preserve"> </w:t>
      </w:r>
      <w:r w:rsidR="00263A40">
        <w:t xml:space="preserve">(y compris le développement) </w:t>
      </w:r>
      <w:r w:rsidRPr="00414538">
        <w:t>a quant à lui vendu 139 lots et logements pour un chiffre d’affaire de 11,9 MEUR depuis le début de l’année et reste en ligne avec les objectifs fixés.</w:t>
      </w:r>
    </w:p>
    <w:p w:rsidR="0022627D" w:rsidRPr="00033729" w:rsidRDefault="0022627D" w:rsidP="0022627D">
      <w:r w:rsidRPr="00414538">
        <w:t>En Pologne, IMMOBEL s’est adossé</w:t>
      </w:r>
      <w:r>
        <w:t>e</w:t>
      </w:r>
      <w:r w:rsidRPr="00414538">
        <w:t xml:space="preserve"> les services d’un nouveau CEO, Monsieur Jacek Wachowicz, anciennement administrateur indépendant d’IMMOBEL. </w:t>
      </w:r>
      <w:r w:rsidRPr="00414538">
        <w:rPr>
          <w:i/>
        </w:rPr>
        <w:t>« Je suis à la fois fier et impatient de prendre la direction du bureau polonais. Je compte insuffler localement la nouvelle stratégie du Groupe, optimiser le fonctionnement de l’équipe et développer notre portefeuille »</w:t>
      </w:r>
      <w:r w:rsidRPr="00414538">
        <w:t xml:space="preserve"> explique-t-il. Sa connaissance du marché polonais ainsi que son expertise en projets de bureaux, résidentiel et mixte permettront d’assurer le bon </w:t>
      </w:r>
      <w:r w:rsidRPr="00033729">
        <w:t xml:space="preserve">développement et suivi des projets en cours </w:t>
      </w:r>
      <w:r>
        <w:t>ainsi que les</w:t>
      </w:r>
      <w:r w:rsidRPr="00033729">
        <w:t xml:space="preserve"> marges qui en découleront. </w:t>
      </w:r>
    </w:p>
    <w:p w:rsidR="0022627D" w:rsidRDefault="0022627D" w:rsidP="0022627D">
      <w:bookmarkStart w:id="1" w:name="_Hlk491332722"/>
      <w:r w:rsidRPr="00033729">
        <w:t xml:space="preserve">La livraison du projet </w:t>
      </w:r>
      <w:proofErr w:type="spellStart"/>
      <w:r w:rsidRPr="00033729">
        <w:t>Cedet</w:t>
      </w:r>
      <w:proofErr w:type="spellEnd"/>
      <w:r w:rsidRPr="00033729">
        <w:t xml:space="preserve"> en construction est prévue au premier semestre 2018. </w:t>
      </w:r>
    </w:p>
    <w:p w:rsidR="0022627D" w:rsidRPr="00033729" w:rsidRDefault="0022627D" w:rsidP="0022627D">
      <w:pPr>
        <w:rPr>
          <w:color w:val="auto"/>
        </w:rPr>
      </w:pPr>
      <w:r w:rsidRPr="00033729">
        <w:t>Par un arrêt du 9 août la cour d’appel de Varsovie a rejeté l’entièreté des actions contre le projet CBD One, lequel avait été suspendu à cause d’actions en revendication.</w:t>
      </w:r>
      <w:bookmarkEnd w:id="1"/>
      <w:r w:rsidRPr="00033729">
        <w:rPr>
          <w:color w:val="auto"/>
        </w:rPr>
        <w:t xml:space="preserve"> </w:t>
      </w:r>
      <w:r w:rsidRPr="00033729">
        <w:t xml:space="preserve">Le développement de ce projet devrait </w:t>
      </w:r>
      <w:r w:rsidRPr="00033729">
        <w:lastRenderedPageBreak/>
        <w:t>reprendre son cours en Q4 2017. Ce projet emblématique de 18.000</w:t>
      </w:r>
      <w:r w:rsidRPr="00414538">
        <w:t xml:space="preserve"> m², localisé au cœur de la capitale polonaise sur la seule intersection des 2 lignes de métro sera notamment remarquable par son architecture unique, développée par le bureau international </w:t>
      </w:r>
      <w:proofErr w:type="spellStart"/>
      <w:r w:rsidRPr="00414538">
        <w:t>Arquitectonica</w:t>
      </w:r>
      <w:proofErr w:type="spellEnd"/>
      <w:r w:rsidRPr="00414538">
        <w:t xml:space="preserve"> en collaboration avec le bureau Polonais </w:t>
      </w:r>
      <w:proofErr w:type="spellStart"/>
      <w:r w:rsidRPr="00414538">
        <w:t>Kazimierski</w:t>
      </w:r>
      <w:proofErr w:type="spellEnd"/>
      <w:r w:rsidRPr="00414538">
        <w:t xml:space="preserve"> i </w:t>
      </w:r>
      <w:proofErr w:type="spellStart"/>
      <w:r w:rsidRPr="00414538">
        <w:t>Ryba</w:t>
      </w:r>
      <w:proofErr w:type="spellEnd"/>
      <w:r w:rsidRPr="00414538">
        <w:t>.</w:t>
      </w:r>
    </w:p>
    <w:p w:rsidR="00A32B97" w:rsidRPr="00A32B97" w:rsidRDefault="00A32B97" w:rsidP="00A32B97">
      <w:pPr>
        <w:pStyle w:val="Heading3"/>
      </w:pPr>
      <w:r w:rsidRPr="00A32B97">
        <w:t>Des chiffres de vente prometteurs</w:t>
      </w:r>
    </w:p>
    <w:p w:rsidR="0022627D" w:rsidRPr="00414538" w:rsidRDefault="0022627D" w:rsidP="0022627D">
      <w:r w:rsidRPr="00414538">
        <w:t xml:space="preserve">IMMOBEL se différencie notamment de la concurrence grâce à l’efficacité et la performance de ses équipes de commercialisation. Avec 8 projets en commercialisation et 500 appartements en portefeuille, les équipes de vente ont réalisé lors de ce premier semestre, des chiffres record et plus qu’encourageant. </w:t>
      </w:r>
      <w:r w:rsidRPr="00033729">
        <w:rPr>
          <w:i/>
          <w:iCs/>
        </w:rPr>
        <w:t>« Même si certains projets sont encore au stade embryonnaire, ils rencontrent un vrai succès auprès des acquéreurs</w:t>
      </w:r>
      <w:r w:rsidRPr="00414538">
        <w:rPr>
          <w:rStyle w:val="SubtleEmphasis"/>
        </w:rPr>
        <w:t xml:space="preserve"> »</w:t>
      </w:r>
      <w:r w:rsidRPr="00414538">
        <w:t xml:space="preserve"> explique Marnix Mellaerts, directeur de la cellule de vente. </w:t>
      </w:r>
      <w:r w:rsidRPr="00414538">
        <w:rPr>
          <w:rStyle w:val="Emphasis"/>
        </w:rPr>
        <w:t>« Nous avons réalisé un chiffre d’affaire de 73,5 MEUR depuis le début de l’année, vendu en moyenne 30 appartements par mois et battu tous les records au mois de juin en vendant pour plus de 20 MEUR ».</w:t>
      </w:r>
      <w:r w:rsidRPr="00414538">
        <w:t xml:space="preserve"> Un chiffre à la hauteur de la motivation d’IMMOBEL : des résultats hors du commun qui ouvrent de nouveaux horizons.</w:t>
      </w:r>
    </w:p>
    <w:p w:rsidR="00A32B97" w:rsidRPr="00A32B97" w:rsidRDefault="00A32B97" w:rsidP="00A32B97">
      <w:pPr>
        <w:pStyle w:val="Heading3"/>
      </w:pPr>
      <w:r w:rsidRPr="00A32B97">
        <w:t>Un second semestre ouvert vers l’avenir</w:t>
      </w:r>
    </w:p>
    <w:p w:rsidR="0022627D" w:rsidRPr="00414538" w:rsidRDefault="0022627D" w:rsidP="0022627D">
      <w:r w:rsidRPr="00414538">
        <w:t>IMMOBEL développe à présent près de 800.000 m² de projets et offre un profil moins cyclique grâce à la diversité de son portefeuille. Le second semestre devrait être comparable et jouira des premiers bénéfices des chantiers entamés</w:t>
      </w:r>
      <w:r w:rsidR="009A4E61">
        <w:t>.</w:t>
      </w:r>
    </w:p>
    <w:p w:rsidR="00A32B97" w:rsidRPr="00A32B97" w:rsidRDefault="00A32B97" w:rsidP="00A32B97">
      <w:pPr>
        <w:pStyle w:val="Heading3"/>
      </w:pPr>
      <w:r w:rsidRPr="00A32B97">
        <w:t>2018, 2019, 2020 : des années de récolte en perspective</w:t>
      </w:r>
    </w:p>
    <w:p w:rsidR="0022627D" w:rsidRPr="00414538" w:rsidRDefault="0022627D" w:rsidP="0022627D">
      <w:pPr>
        <w:rPr>
          <w:i/>
        </w:rPr>
      </w:pPr>
      <w:r w:rsidRPr="00414538">
        <w:rPr>
          <w:rStyle w:val="Emphasis"/>
          <w:i w:val="0"/>
        </w:rPr>
        <w:t>Les années 2018, 2019 et 2020 se profilent bien et annoncent des résultats prometteurs, fruits de la stratégie de développement mise en place par le Conseil d’Administration d’IMMOBEL depuis sa fusion en juin 2016. </w:t>
      </w:r>
      <w:r w:rsidRPr="00414538">
        <w:t>Tous à des stades avancés de réception ou de vente, le nombre important de projets qui y contribueront est impressionnant et devrait engendrer une récolte prometteuse :</w:t>
      </w:r>
    </w:p>
    <w:p w:rsidR="0022627D" w:rsidRPr="00414538" w:rsidRDefault="0022627D" w:rsidP="0022627D">
      <w:pPr>
        <w:pStyle w:val="ListParagraph"/>
        <w:suppressAutoHyphens w:val="0"/>
      </w:pPr>
      <w:r w:rsidRPr="00414538">
        <w:t xml:space="preserve">En Belgique : </w:t>
      </w:r>
      <w:proofErr w:type="spellStart"/>
      <w:r w:rsidRPr="00414538">
        <w:t>Greenhill</w:t>
      </w:r>
      <w:proofErr w:type="spellEnd"/>
      <w:r w:rsidRPr="00414538">
        <w:t xml:space="preserve"> Park, deux projets à Knokke-Heist, la deuxième phase de </w:t>
      </w:r>
      <w:proofErr w:type="spellStart"/>
      <w:r w:rsidRPr="00414538">
        <w:t>O’Sea</w:t>
      </w:r>
      <w:proofErr w:type="spellEnd"/>
      <w:r w:rsidRPr="00414538">
        <w:t xml:space="preserve"> mais aussi </w:t>
      </w:r>
      <w:r w:rsidRPr="00414538">
        <w:br/>
        <w:t xml:space="preserve">Ernest the Park, </w:t>
      </w:r>
      <w:proofErr w:type="spellStart"/>
      <w:r w:rsidRPr="00414538">
        <w:t>Universalis</w:t>
      </w:r>
      <w:proofErr w:type="spellEnd"/>
      <w:r w:rsidRPr="00414538">
        <w:t xml:space="preserve"> Park, RAC 4 et Parc </w:t>
      </w:r>
      <w:proofErr w:type="spellStart"/>
      <w:r w:rsidRPr="00414538">
        <w:t>Seny</w:t>
      </w:r>
      <w:proofErr w:type="spellEnd"/>
      <w:r w:rsidRPr="00414538">
        <w:t> ;</w:t>
      </w:r>
    </w:p>
    <w:p w:rsidR="0022627D" w:rsidRPr="00414538" w:rsidRDefault="0022627D" w:rsidP="0022627D">
      <w:pPr>
        <w:pStyle w:val="ListParagraph"/>
        <w:suppressAutoHyphens w:val="0"/>
      </w:pPr>
      <w:r w:rsidRPr="00414538">
        <w:t xml:space="preserve">Au Luxembourg :  </w:t>
      </w:r>
      <w:proofErr w:type="spellStart"/>
      <w:r w:rsidRPr="00414538">
        <w:t>Infinity</w:t>
      </w:r>
      <w:proofErr w:type="spellEnd"/>
      <w:r w:rsidRPr="00414538">
        <w:t xml:space="preserve">, </w:t>
      </w:r>
      <w:proofErr w:type="spellStart"/>
      <w:r w:rsidRPr="00414538">
        <w:t>Polvermillen</w:t>
      </w:r>
      <w:proofErr w:type="spellEnd"/>
      <w:r w:rsidRPr="00414538">
        <w:t xml:space="preserve"> et Centre Étoile ;</w:t>
      </w:r>
    </w:p>
    <w:p w:rsidR="0022627D" w:rsidRPr="00414538" w:rsidRDefault="0022627D" w:rsidP="0022627D">
      <w:pPr>
        <w:pStyle w:val="ListParagraph"/>
        <w:suppressAutoHyphens w:val="0"/>
      </w:pPr>
      <w:r w:rsidRPr="00414538">
        <w:t xml:space="preserve">En Pologne : </w:t>
      </w:r>
      <w:proofErr w:type="spellStart"/>
      <w:r w:rsidRPr="00414538">
        <w:t>Cedet</w:t>
      </w:r>
      <w:proofErr w:type="spellEnd"/>
      <w:r w:rsidRPr="00414538">
        <w:t xml:space="preserve">, CBD One et </w:t>
      </w:r>
      <w:proofErr w:type="spellStart"/>
      <w:r w:rsidRPr="00414538">
        <w:t>Granary</w:t>
      </w:r>
      <w:proofErr w:type="spellEnd"/>
      <w:r w:rsidRPr="00414538">
        <w:t xml:space="preserve"> Island.</w:t>
      </w:r>
    </w:p>
    <w:p w:rsidR="0022627D" w:rsidRPr="00414538" w:rsidRDefault="0022627D" w:rsidP="0022627D">
      <w:pPr>
        <w:rPr>
          <w:i/>
        </w:rPr>
      </w:pPr>
      <w:r w:rsidRPr="00414538">
        <w:t>Sans compter les deux nouveaux projets emblématiques bruxellois</w:t>
      </w:r>
      <w:r w:rsidR="00464B04">
        <w:t>,</w:t>
      </w:r>
      <w:bookmarkStart w:id="2" w:name="_GoBack"/>
      <w:bookmarkEnd w:id="2"/>
      <w:r w:rsidRPr="00414538">
        <w:t xml:space="preserve"> Lebeau au Sablon et De Brouckère sur ladite Place, qui devraient être entamés, et le nouveau siège d’Allianz, près de la Gare du Nord à Bruxelles, qui devrait être réceptionné. </w:t>
      </w:r>
    </w:p>
    <w:p w:rsidR="00A32B97" w:rsidRPr="00A32B97" w:rsidRDefault="00A32B97" w:rsidP="00A32B97">
      <w:pPr>
        <w:pStyle w:val="Heading3"/>
      </w:pPr>
      <w:r w:rsidRPr="00A32B97">
        <w:t>Un appel au marché pour soutenir sa croissance</w:t>
      </w:r>
    </w:p>
    <w:p w:rsidR="0022627D" w:rsidRPr="00414538" w:rsidRDefault="0022627D" w:rsidP="0022627D">
      <w:r w:rsidRPr="00414538">
        <w:t xml:space="preserve">Afin de soutenir et renforcer son processus de croissance et le développement de son portefeuille immobilier dans ses 3 secteurs de prédilections, tant en Belgique qu’à l’étranger, IMMOBEL a fait appel au marché obligataire. Une émission d’obligations d’un montant global de 100 MEUR et d’une durée de 5 ans a été lancée le 19 mai dernier. Elle a été bouclée en quelques heures, preuve de la confiance des marchés dans la Société. « </w:t>
      </w:r>
      <w:r w:rsidRPr="00414538">
        <w:rPr>
          <w:rStyle w:val="Emphasis"/>
        </w:rPr>
        <w:t>L’émission permettra notamment à la Société de continuer à développer un modèle orienté vers la croissance et l’optimisation de ses acquis au bénéfice de l’ensemble de ses Actionnaires, ainsi que de diversifier ses sources de financement, et d’assurer l’allongement de la maturité de son endettement et la diminution de son coût moyen de la dette</w:t>
      </w:r>
      <w:r w:rsidRPr="00414538">
        <w:t xml:space="preserve"> », conclut Valéry Autin, Chief Financial </w:t>
      </w:r>
      <w:proofErr w:type="spellStart"/>
      <w:r w:rsidRPr="00414538">
        <w:t>Officer</w:t>
      </w:r>
      <w:proofErr w:type="spellEnd"/>
      <w:r w:rsidRPr="00414538">
        <w:t>.</w:t>
      </w:r>
    </w:p>
    <w:p w:rsidR="00A32B97" w:rsidRPr="00A32B97" w:rsidRDefault="00A32B97" w:rsidP="00A32B97">
      <w:pPr>
        <w:pStyle w:val="Heading3"/>
      </w:pPr>
      <w:r w:rsidRPr="00A32B97">
        <w:lastRenderedPageBreak/>
        <w:t>Maintien de la politique de dividende</w:t>
      </w:r>
    </w:p>
    <w:p w:rsidR="0022627D" w:rsidRPr="00414538" w:rsidRDefault="0022627D" w:rsidP="0022627D">
      <w:r w:rsidRPr="00414538">
        <w:t>Malgré une année de transition, le Conseil d’Administration confirme le mainti</w:t>
      </w:r>
      <w:r w:rsidR="00464B04">
        <w:t>en de la politique de dividende</w:t>
      </w:r>
      <w:r w:rsidRPr="00414538">
        <w:t xml:space="preserve"> à savoir qu’il proposera à l’Assemblée Générale des Actionnaires de mai 2018 de leur octroyer un dividende de minimum 2 EUR bruts par action en circulation, montant qui devrait croître de 4 à 10% par an, sous réserve d’événements exceptionnels imprévus</w:t>
      </w:r>
      <w:r>
        <w:t>. Ceci en gage de cohérence et d’engagement vis-à-vis de ses Actionnaires.</w:t>
      </w:r>
    </w:p>
    <w:p w:rsidR="00A32B97" w:rsidRPr="00A32B97" w:rsidRDefault="00A32B97" w:rsidP="00A32B97">
      <w:pPr>
        <w:pStyle w:val="Heading3"/>
      </w:pPr>
      <w:r w:rsidRPr="00A32B97">
        <w:t>Analyse des chiffres consolidés (avant IFRS 11)</w:t>
      </w:r>
    </w:p>
    <w:p w:rsidR="00A32B97" w:rsidRPr="00A32B97" w:rsidRDefault="00A32B97" w:rsidP="00A32B97">
      <w:pPr>
        <w:pStyle w:val="Heading4"/>
      </w:pPr>
      <w:r w:rsidRPr="00A32B97">
        <w:t>Résultat opérationnel</w:t>
      </w:r>
    </w:p>
    <w:p w:rsidR="00A32B97" w:rsidRPr="00A32B97" w:rsidRDefault="00A32B97" w:rsidP="00A32B97">
      <w:r w:rsidRPr="00A32B97">
        <w:t xml:space="preserve">Le résultat opérationnel à l’issue des 6 premiers mois s’établit à 9,8 MEUR. </w:t>
      </w:r>
    </w:p>
    <w:p w:rsidR="00A32B97" w:rsidRPr="00A32B97" w:rsidRDefault="00A32B97" w:rsidP="00A32B97">
      <w:r w:rsidRPr="00A32B97">
        <w:t>Au niveau des activités de la société, on notera que la majeure partie du résultat opérationnel provient des nouvelles ventes et de l’avancement des projets résidentiels Riverview (2,3 MEUR), Lake Front (2,2 MEUR), Chambon (1,3 MEUR) et Ernest (0,6 MEUR), ainsi que de la vente du projet Galerie KONS au Luxembourg.  Ce-dernier avait toutefois fait l’objet d’une réévaluation lors de la fusion de juin 2016 et sa contribution aux chiffres de 2017 est limitée.</w:t>
      </w:r>
    </w:p>
    <w:p w:rsidR="00A32B97" w:rsidRPr="00A32B97" w:rsidRDefault="00A32B97" w:rsidP="00A32B97">
      <w:r w:rsidRPr="00A32B97">
        <w:t xml:space="preserve">L’activité du département </w:t>
      </w:r>
      <w:proofErr w:type="spellStart"/>
      <w:r w:rsidRPr="00A32B97">
        <w:t>Landbanking</w:t>
      </w:r>
      <w:proofErr w:type="spellEnd"/>
      <w:r w:rsidRPr="00A32B97">
        <w:t xml:space="preserve"> a été marquée par les ventes et la continuation d’importants travaux d’équipement notamment dans les lotissements du Verger de </w:t>
      </w:r>
      <w:proofErr w:type="spellStart"/>
      <w:proofErr w:type="gramStart"/>
      <w:r w:rsidRPr="00A32B97">
        <w:t>Fayenbois</w:t>
      </w:r>
      <w:proofErr w:type="spellEnd"/>
      <w:r w:rsidRPr="00A32B97">
        <w:t xml:space="preserve">  (</w:t>
      </w:r>
      <w:proofErr w:type="gramEnd"/>
      <w:r w:rsidRPr="00A32B97">
        <w:t>15ha) (</w:t>
      </w:r>
      <w:proofErr w:type="spellStart"/>
      <w:r w:rsidRPr="00A32B97">
        <w:t>Grivegnée</w:t>
      </w:r>
      <w:proofErr w:type="spellEnd"/>
      <w:r w:rsidRPr="00A32B97">
        <w:t>-Liège), du Domaine des Vallées (10ha) (</w:t>
      </w:r>
      <w:proofErr w:type="spellStart"/>
      <w:r w:rsidRPr="00A32B97">
        <w:t>Gastuche</w:t>
      </w:r>
      <w:proofErr w:type="spellEnd"/>
      <w:r w:rsidRPr="00A32B97">
        <w:t xml:space="preserve">-Grez-Doiceau), de </w:t>
      </w:r>
      <w:proofErr w:type="spellStart"/>
      <w:r w:rsidRPr="00A32B97">
        <w:t>Havenzijde</w:t>
      </w:r>
      <w:proofErr w:type="spellEnd"/>
      <w:r w:rsidRPr="00A32B97">
        <w:t xml:space="preserve"> (4,5ha) (</w:t>
      </w:r>
      <w:proofErr w:type="spellStart"/>
      <w:r w:rsidRPr="00A32B97">
        <w:t>Lombardsijde</w:t>
      </w:r>
      <w:proofErr w:type="spellEnd"/>
      <w:r w:rsidRPr="00A32B97">
        <w:t xml:space="preserve">-Middelkerke), de </w:t>
      </w:r>
      <w:proofErr w:type="spellStart"/>
      <w:r w:rsidRPr="00A32B97">
        <w:t>Beaufays</w:t>
      </w:r>
      <w:proofErr w:type="spellEnd"/>
      <w:r w:rsidRPr="00A32B97">
        <w:t xml:space="preserve">  (18ha) et de Soignies (1,8ha). Les ventes dans les développements de </w:t>
      </w:r>
      <w:proofErr w:type="spellStart"/>
      <w:r w:rsidRPr="00A32B97">
        <w:t>Oostduinkerke</w:t>
      </w:r>
      <w:proofErr w:type="spellEnd"/>
      <w:r w:rsidRPr="00A32B97">
        <w:t xml:space="preserve">, Jardins du Nord et Chastre ont contribué au chiffre d’affaires du semestre. </w:t>
      </w:r>
    </w:p>
    <w:p w:rsidR="00A32B97" w:rsidRPr="00A32B97" w:rsidRDefault="00A32B97" w:rsidP="00A32B97">
      <w:r w:rsidRPr="00A32B97">
        <w:t xml:space="preserve">L’activité </w:t>
      </w:r>
      <w:proofErr w:type="spellStart"/>
      <w:r w:rsidRPr="00A32B97">
        <w:t>Landbanking</w:t>
      </w:r>
      <w:proofErr w:type="spellEnd"/>
      <w:r w:rsidRPr="00A32B97">
        <w:t xml:space="preserve"> a dégagé une marge de 3,6 MEUR (4,2 MEUR en incluant les développements), le second semestre devrait comme de coutume être supérieur au premier. </w:t>
      </w:r>
    </w:p>
    <w:p w:rsidR="00A32B97" w:rsidRPr="00A32B97" w:rsidRDefault="00A32B97" w:rsidP="00A32B97">
      <w:pPr>
        <w:pStyle w:val="Heading4"/>
      </w:pPr>
      <w:r w:rsidRPr="00A32B97">
        <w:t>Résultat financier</w:t>
      </w:r>
    </w:p>
    <w:p w:rsidR="00A32B97" w:rsidRPr="00A32B97" w:rsidRDefault="00A32B97" w:rsidP="00A32B97">
      <w:r w:rsidRPr="00A32B97">
        <w:t>Le résultat financier net s’élève à -1,0 MEUR et est composé :</w:t>
      </w:r>
    </w:p>
    <w:p w:rsidR="00A32B97" w:rsidRPr="00A32B97" w:rsidRDefault="00A32B97" w:rsidP="00A32B97">
      <w:pPr>
        <w:pStyle w:val="ListParagraph"/>
      </w:pPr>
      <w:r w:rsidRPr="00A32B97">
        <w:t>De la reprise de revalorisation des obligations faite dans le cadre de la fusion 2016 (+1,3 MEUR)</w:t>
      </w:r>
    </w:p>
    <w:p w:rsidR="00A32B97" w:rsidRPr="00A32B97" w:rsidRDefault="00A32B97" w:rsidP="00A32B97">
      <w:pPr>
        <w:pStyle w:val="ListParagraph"/>
      </w:pPr>
      <w:r w:rsidRPr="00A32B97">
        <w:t xml:space="preserve">De charges financières non capitalisées (essentiellement les intérêts sur les obligations et sur les lignes de crédit </w:t>
      </w:r>
      <w:proofErr w:type="spellStart"/>
      <w:r w:rsidRPr="00A32B97">
        <w:t>corporate</w:t>
      </w:r>
      <w:proofErr w:type="spellEnd"/>
      <w:r w:rsidRPr="00A32B97">
        <w:t xml:space="preserve">) pour - 2 MEUR </w:t>
      </w:r>
    </w:p>
    <w:p w:rsidR="00A32B97" w:rsidRPr="00A32B97" w:rsidRDefault="00A32B97" w:rsidP="00A32B97">
      <w:pPr>
        <w:pStyle w:val="ListParagraph"/>
      </w:pPr>
      <w:r w:rsidRPr="00A32B97">
        <w:t xml:space="preserve">De frais financiers divers (-0,3 MEUR) </w:t>
      </w:r>
    </w:p>
    <w:p w:rsidR="00A32B97" w:rsidRPr="00A32B97" w:rsidRDefault="00A32B97" w:rsidP="00A32B97">
      <w:pPr>
        <w:pStyle w:val="Heading4"/>
      </w:pPr>
      <w:r w:rsidRPr="00A32B97">
        <w:t>Résultat net</w:t>
      </w:r>
    </w:p>
    <w:p w:rsidR="00A32B97" w:rsidRPr="00A32B97" w:rsidRDefault="00A32B97" w:rsidP="00A32B97">
      <w:r w:rsidRPr="00A32B97">
        <w:t>Après déductions des charges d’impôts (-3,6 MEUR), le résultat net s’établit à 5,3 MEUR, soit un résultat de 0,53 EUR par action et de 0,60 EUR par action en circulation.</w:t>
      </w:r>
    </w:p>
    <w:p w:rsidR="00A32B97" w:rsidRPr="00A32B97" w:rsidRDefault="00A32B97" w:rsidP="00A32B97"/>
    <w:p w:rsidR="00A32B97" w:rsidRPr="00A32B97" w:rsidRDefault="00A32B97" w:rsidP="00A32B97"/>
    <w:p w:rsidR="00A32B97" w:rsidRPr="00A32B97" w:rsidRDefault="00A32B97" w:rsidP="00A32B97">
      <w:pPr>
        <w:pStyle w:val="Heading4"/>
      </w:pPr>
      <w:r w:rsidRPr="00A32B97">
        <w:lastRenderedPageBreak/>
        <w:t>Bilan consolidé</w:t>
      </w:r>
    </w:p>
    <w:p w:rsidR="00A32B97" w:rsidRPr="00A32B97" w:rsidRDefault="00A32B97" w:rsidP="00A32B97">
      <w:r w:rsidRPr="00A32B97">
        <w:t>L’actif total de la société (après IFRS 11) s’élève au 30 juin 2017 à 821,1 MEUR et est principalement composé de la trésorerie de la société au 30 juin 2017 (179 MEUR), dont 100 MEUR proviennent de l’émission obligataire de mai 2017, et des projets en portefeuille. Ces-derniers se répartissent entre :</w:t>
      </w:r>
    </w:p>
    <w:p w:rsidR="00A32B97" w:rsidRPr="00A32B97" w:rsidRDefault="00A32B97" w:rsidP="00A32B97">
      <w:pPr>
        <w:pStyle w:val="ListParagraph"/>
      </w:pPr>
      <w:proofErr w:type="gramStart"/>
      <w:r>
        <w:t>l</w:t>
      </w:r>
      <w:r w:rsidRPr="00A32B97">
        <w:t>es</w:t>
      </w:r>
      <w:proofErr w:type="gramEnd"/>
      <w:r w:rsidRPr="00A32B97">
        <w:t xml:space="preserve"> Participations dans les coentreprises et entreprises associés (41 MEUR, principalement </w:t>
      </w:r>
      <w:proofErr w:type="spellStart"/>
      <w:r w:rsidRPr="00A32B97">
        <w:t>Belair</w:t>
      </w:r>
      <w:proofErr w:type="spellEnd"/>
      <w:r w:rsidRPr="00A32B97">
        <w:t xml:space="preserve"> RAC, </w:t>
      </w:r>
      <w:proofErr w:type="spellStart"/>
      <w:r w:rsidRPr="00A32B97">
        <w:t>Universalis</w:t>
      </w:r>
      <w:proofErr w:type="spellEnd"/>
      <w:r w:rsidRPr="00A32B97">
        <w:t xml:space="preserve"> Park, Solvay) </w:t>
      </w:r>
    </w:p>
    <w:p w:rsidR="00A32B97" w:rsidRPr="00A32B97" w:rsidRDefault="00A32B97" w:rsidP="00A32B97">
      <w:pPr>
        <w:pStyle w:val="ListParagraph"/>
      </w:pPr>
      <w:proofErr w:type="gramStart"/>
      <w:r w:rsidRPr="00A32B97">
        <w:t>les</w:t>
      </w:r>
      <w:proofErr w:type="gramEnd"/>
      <w:r w:rsidRPr="00A32B97">
        <w:t xml:space="preserve"> stocks (514,9 MEUR, principalement les projets Lebeau, </w:t>
      </w:r>
      <w:proofErr w:type="spellStart"/>
      <w:r w:rsidRPr="00A32B97">
        <w:t>O’Sea</w:t>
      </w:r>
      <w:proofErr w:type="spellEnd"/>
      <w:r w:rsidRPr="00A32B97">
        <w:t xml:space="preserve">, </w:t>
      </w:r>
      <w:proofErr w:type="spellStart"/>
      <w:r w:rsidRPr="00A32B97">
        <w:t>Cedet</w:t>
      </w:r>
      <w:proofErr w:type="spellEnd"/>
      <w:r w:rsidRPr="00A32B97">
        <w:t xml:space="preserve">, Möbius, </w:t>
      </w:r>
      <w:proofErr w:type="spellStart"/>
      <w:r w:rsidRPr="00A32B97">
        <w:t>Polvermillen</w:t>
      </w:r>
      <w:proofErr w:type="spellEnd"/>
      <w:r w:rsidRPr="00A32B97">
        <w:t xml:space="preserve"> et </w:t>
      </w:r>
      <w:proofErr w:type="spellStart"/>
      <w:r w:rsidRPr="00A32B97">
        <w:t>Infinity</w:t>
      </w:r>
      <w:proofErr w:type="spellEnd"/>
      <w:r w:rsidRPr="00A32B97">
        <w:t>).</w:t>
      </w:r>
    </w:p>
    <w:p w:rsidR="00246EB1" w:rsidRDefault="00246EB1" w:rsidP="00A32B97">
      <w:r>
        <w:rPr>
          <w:noProof/>
        </w:rPr>
        <w:drawing>
          <wp:anchor distT="0" distB="0" distL="114300" distR="114300" simplePos="0" relativeHeight="251659264" behindDoc="0" locked="0" layoutInCell="1" allowOverlap="1">
            <wp:simplePos x="0" y="0"/>
            <wp:positionH relativeFrom="column">
              <wp:posOffset>-132715</wp:posOffset>
            </wp:positionH>
            <wp:positionV relativeFrom="paragraph">
              <wp:posOffset>405130</wp:posOffset>
            </wp:positionV>
            <wp:extent cx="3930650" cy="3372485"/>
            <wp:effectExtent l="0" t="0" r="0"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A32B97" w:rsidRPr="00A32B97">
        <w:t>Voici la répartition du portefeuille de projets au 30 juin 2017, par segment et par géographie (avant IFRS 11) :</w:t>
      </w:r>
    </w:p>
    <w:p w:rsidR="00841A2B" w:rsidRDefault="00246EB1" w:rsidP="00841A2B">
      <w:r>
        <w:rPr>
          <w:noProof/>
        </w:rPr>
        <w:drawing>
          <wp:anchor distT="0" distB="0" distL="114300" distR="114300" simplePos="0" relativeHeight="251660288" behindDoc="0" locked="0" layoutInCell="1" allowOverlap="1" wp14:anchorId="05848F6D">
            <wp:simplePos x="0" y="0"/>
            <wp:positionH relativeFrom="column">
              <wp:posOffset>2098675</wp:posOffset>
            </wp:positionH>
            <wp:positionV relativeFrom="paragraph">
              <wp:posOffset>2550160</wp:posOffset>
            </wp:positionV>
            <wp:extent cx="3693160" cy="3194050"/>
            <wp:effectExtent l="0" t="0" r="0" b="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841A2B">
        <w:br w:type="page"/>
      </w:r>
    </w:p>
    <w:p w:rsidR="00A32B97" w:rsidRPr="00A32B97" w:rsidRDefault="00A32B97" w:rsidP="00A32B97">
      <w:r w:rsidRPr="00A32B97">
        <w:lastRenderedPageBreak/>
        <w:t xml:space="preserve">Les fonds propres consolidés atteignent 298,5 MEUR, tandis que l’endettement financier brut (après IFRS 11) s’élève à 433,6 MEUR, principalement composés des obligations (197 MEUR) et de </w:t>
      </w:r>
      <w:proofErr w:type="spellStart"/>
      <w:r w:rsidRPr="00A32B97">
        <w:t>project</w:t>
      </w:r>
      <w:proofErr w:type="spellEnd"/>
      <w:r w:rsidRPr="00A32B97">
        <w:t xml:space="preserve"> </w:t>
      </w:r>
      <w:proofErr w:type="spellStart"/>
      <w:r w:rsidRPr="00A32B97">
        <w:t>financings</w:t>
      </w:r>
      <w:proofErr w:type="spellEnd"/>
      <w:r w:rsidRPr="00A32B97">
        <w:t xml:space="preserve">.  </w:t>
      </w:r>
    </w:p>
    <w:p w:rsidR="00A32B97" w:rsidRPr="00A32B97" w:rsidRDefault="00A32B97" w:rsidP="00A32B97">
      <w:r w:rsidRPr="00A32B97">
        <w:t>Les ratios d’endettement (calculés avant IFRS 11) au 30 juin 2017 évoluent de la manière suivante :</w:t>
      </w:r>
    </w:p>
    <w:p w:rsidR="00A32B97" w:rsidRPr="00A32B97" w:rsidRDefault="00A32B97" w:rsidP="00A32B97">
      <w:r>
        <w:rPr>
          <w:noProof/>
        </w:rPr>
        <w:drawing>
          <wp:inline distT="0" distB="0" distL="0" distR="0" wp14:anchorId="7536039C">
            <wp:extent cx="5730875" cy="240792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875" cy="2407920"/>
                    </a:xfrm>
                    <a:prstGeom prst="rect">
                      <a:avLst/>
                    </a:prstGeom>
                    <a:noFill/>
                  </pic:spPr>
                </pic:pic>
              </a:graphicData>
            </a:graphic>
          </wp:inline>
        </w:drawing>
      </w:r>
      <w:r w:rsidRPr="00A32B97">
        <w:t xml:space="preserve"> </w:t>
      </w:r>
    </w:p>
    <w:p w:rsidR="00A32B97" w:rsidRPr="00A32B97" w:rsidRDefault="00A32B97" w:rsidP="00A32B97">
      <w:r w:rsidRPr="00A32B97">
        <w:t xml:space="preserve">Les ratios « </w:t>
      </w:r>
      <w:proofErr w:type="spellStart"/>
      <w:r w:rsidRPr="00A32B97">
        <w:t>equity</w:t>
      </w:r>
      <w:proofErr w:type="spellEnd"/>
      <w:r w:rsidRPr="00A32B97">
        <w:t xml:space="preserve"> to assets » (34,7%) et « </w:t>
      </w:r>
      <w:proofErr w:type="spellStart"/>
      <w:r w:rsidRPr="00A32B97">
        <w:t>loan</w:t>
      </w:r>
      <w:proofErr w:type="spellEnd"/>
      <w:r w:rsidRPr="00A32B97">
        <w:t xml:space="preserve"> to </w:t>
      </w:r>
      <w:proofErr w:type="spellStart"/>
      <w:r w:rsidRPr="00A32B97">
        <w:t>cost</w:t>
      </w:r>
      <w:proofErr w:type="spellEnd"/>
      <w:r w:rsidRPr="00A32B97">
        <w:t xml:space="preserve"> » (78% - dettes brutes/stocks) se détériorent en raison principalement de l’émission obligataire de 100 MEUR effectuée au mois de mai 2017.</w:t>
      </w:r>
    </w:p>
    <w:p w:rsidR="00C95877" w:rsidRDefault="00A32B97" w:rsidP="00A32B97">
      <w:pPr>
        <w:widowControl w:val="0"/>
        <w:spacing w:after="80"/>
        <w:jc w:val="left"/>
      </w:pPr>
      <w:r w:rsidRPr="00A32B97">
        <w:t xml:space="preserve">Le ratio « net </w:t>
      </w:r>
      <w:proofErr w:type="spellStart"/>
      <w:r w:rsidRPr="00A32B97">
        <w:t>financial</w:t>
      </w:r>
      <w:proofErr w:type="spellEnd"/>
      <w:r w:rsidRPr="00A32B97">
        <w:t xml:space="preserve"> </w:t>
      </w:r>
      <w:proofErr w:type="spellStart"/>
      <w:r w:rsidRPr="00A32B97">
        <w:t>debt</w:t>
      </w:r>
      <w:proofErr w:type="spellEnd"/>
      <w:r w:rsidRPr="00A32B97">
        <w:t>/</w:t>
      </w:r>
      <w:proofErr w:type="spellStart"/>
      <w:r w:rsidRPr="00A32B97">
        <w:t>equity</w:t>
      </w:r>
      <w:proofErr w:type="spellEnd"/>
      <w:r w:rsidRPr="00A32B97">
        <w:t xml:space="preserve"> » tient lui compte de la trésorerie et se détériore légèrement (92,8% au 30 juin 2017 par rapport à 82,1 % au 31 décembre 2016) étant donné la baisse des fonds propres (le résultat des 6 premiers mois étant inférieur au dividende distribué au mois de mai 2017 au titre de l’exercice 2016).</w:t>
      </w:r>
    </w:p>
    <w:p w:rsidR="00C95877" w:rsidRDefault="00C95877" w:rsidP="00E95C2B">
      <w:pPr>
        <w:widowControl w:val="0"/>
        <w:spacing w:after="80"/>
        <w:jc w:val="left"/>
      </w:pPr>
    </w:p>
    <w:p w:rsidR="007C2125" w:rsidRDefault="007C2125" w:rsidP="00E95C2B">
      <w:pPr>
        <w:widowControl w:val="0"/>
        <w:spacing w:after="80"/>
        <w:jc w:val="left"/>
        <w:rPr>
          <w:rFonts w:asciiTheme="majorHAnsi" w:eastAsiaTheme="majorEastAsia" w:hAnsiTheme="majorHAnsi" w:cstheme="majorBidi"/>
          <w:caps/>
          <w:color w:val="303874"/>
          <w:sz w:val="32"/>
          <w:szCs w:val="32"/>
        </w:rPr>
      </w:pPr>
      <w:r>
        <w:br w:type="page"/>
      </w:r>
    </w:p>
    <w:p w:rsidR="000D317D" w:rsidRPr="00564FB9" w:rsidRDefault="00FE5D19" w:rsidP="0013794C">
      <w:pPr>
        <w:pStyle w:val="Heading2"/>
        <w:numPr>
          <w:ilvl w:val="0"/>
          <w:numId w:val="0"/>
        </w:numPr>
        <w:ind w:left="357" w:hanging="357"/>
        <w:rPr>
          <w:b/>
        </w:rPr>
      </w:pPr>
      <w:bookmarkStart w:id="3" w:name="_Toc491768795"/>
      <w:r w:rsidRPr="00564FB9">
        <w:rPr>
          <w:b/>
          <w:sz w:val="24"/>
          <w:szCs w:val="24"/>
        </w:rPr>
        <w:lastRenderedPageBreak/>
        <w:t>Activités du groupe</w:t>
      </w:r>
      <w:r w:rsidRPr="00564FB9">
        <w:rPr>
          <w:b/>
        </w:rPr>
        <w:t xml:space="preserve"> IMMOBEL au premier semestre 201</w:t>
      </w:r>
      <w:r w:rsidR="00294DDC" w:rsidRPr="00564FB9">
        <w:rPr>
          <w:b/>
        </w:rPr>
        <w:t>7</w:t>
      </w:r>
      <w:bookmarkEnd w:id="3"/>
    </w:p>
    <w:p w:rsidR="000D317D" w:rsidRDefault="000D317D" w:rsidP="00E95C2B">
      <w:pPr>
        <w:widowControl w:val="0"/>
      </w:pPr>
      <w:r>
        <w:t xml:space="preserve">Voici un aperçu des principaux projets dans le portefeuille du groupe </w:t>
      </w:r>
      <w:r w:rsidR="000108EA">
        <w:t>IMMOBEL</w:t>
      </w:r>
      <w:r>
        <w:t xml:space="preserve"> au </w:t>
      </w:r>
      <w:r w:rsidR="00FE5D19">
        <w:t>premier semestre 2017</w:t>
      </w:r>
      <w:r>
        <w:t xml:space="preserve"> (par ordre de surface du projet).</w:t>
      </w:r>
    </w:p>
    <w:tbl>
      <w:tblPr>
        <w:tblStyle w:val="GridTable4-Accent11"/>
        <w:tblW w:w="0" w:type="auto"/>
        <w:tblCellMar>
          <w:top w:w="57" w:type="dxa"/>
          <w:left w:w="57" w:type="dxa"/>
          <w:bottom w:w="57" w:type="dxa"/>
          <w:right w:w="57" w:type="dxa"/>
        </w:tblCellMar>
        <w:tblLook w:val="04A0" w:firstRow="1" w:lastRow="0" w:firstColumn="1" w:lastColumn="0" w:noHBand="0" w:noVBand="1"/>
      </w:tblPr>
      <w:tblGrid>
        <w:gridCol w:w="2410"/>
        <w:gridCol w:w="6606"/>
      </w:tblGrid>
      <w:tr w:rsidR="00E748E1" w:rsidRPr="00E748E1" w:rsidTr="00E748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rsidR="00E748E1" w:rsidRPr="00EF0D9F" w:rsidRDefault="00E748E1" w:rsidP="00EF0D9F">
            <w:pPr>
              <w:pStyle w:val="TABLEAUTETEDECOLONNE"/>
            </w:pPr>
            <w:r w:rsidRPr="00197CD3">
              <w:rPr>
                <w:caps/>
              </w:rPr>
              <w:t>Universalis Park</w:t>
            </w:r>
            <w:r w:rsidRPr="00EF0D9F">
              <w:t xml:space="preserve"> – 110.000 m² - Bruxelles, Belgique (Quote-Part </w:t>
            </w:r>
            <w:r w:rsidR="000108EA" w:rsidRPr="00EF0D9F">
              <w:t>IMMOBEL</w:t>
            </w:r>
            <w:r w:rsidRPr="00EF0D9F">
              <w:t> : 50%)</w:t>
            </w:r>
          </w:p>
        </w:tc>
      </w:tr>
      <w:tr w:rsidR="00977F55" w:rsidRPr="00E748E1" w:rsidTr="00E74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77F55" w:rsidRPr="00977F55" w:rsidRDefault="00977F55" w:rsidP="00977F55">
            <w:pPr>
              <w:pStyle w:val="TABLEAUCONTENU"/>
            </w:pPr>
            <w:r w:rsidRPr="00150929">
              <w:t xml:space="preserve">Situation au </w:t>
            </w:r>
            <w:r w:rsidRPr="00977F55">
              <w:t>30 juin 2017</w:t>
            </w:r>
          </w:p>
        </w:tc>
        <w:tc>
          <w:tcPr>
            <w:tcW w:w="6606" w:type="dxa"/>
          </w:tcPr>
          <w:p w:rsidR="00977F55" w:rsidRPr="00977F55" w:rsidRDefault="003C4D75" w:rsidP="00977F55">
            <w:pPr>
              <w:pStyle w:val="TABLEAUCONTENU"/>
              <w:cnfStyle w:val="000000100000" w:firstRow="0" w:lastRow="0" w:firstColumn="0" w:lastColumn="0" w:oddVBand="0" w:evenVBand="0" w:oddHBand="1" w:evenHBand="0" w:firstRowFirstColumn="0" w:firstRowLastColumn="0" w:lastRowFirstColumn="0" w:lastRowLastColumn="0"/>
            </w:pPr>
            <w:r>
              <w:t>Phase 1 – 15.000 m² : 40</w:t>
            </w:r>
            <w:r w:rsidR="00E52BBE">
              <w:t>% vendu</w:t>
            </w:r>
          </w:p>
        </w:tc>
      </w:tr>
      <w:tr w:rsidR="00977F55" w:rsidRPr="00E748E1" w:rsidTr="00E748E1">
        <w:tc>
          <w:tcPr>
            <w:cnfStyle w:val="001000000000" w:firstRow="0" w:lastRow="0" w:firstColumn="1" w:lastColumn="0" w:oddVBand="0" w:evenVBand="0" w:oddHBand="0" w:evenHBand="0" w:firstRowFirstColumn="0" w:firstRowLastColumn="0" w:lastRowFirstColumn="0" w:lastRowLastColumn="0"/>
            <w:tcW w:w="2410" w:type="dxa"/>
          </w:tcPr>
          <w:p w:rsidR="00977F55" w:rsidRPr="00150929" w:rsidRDefault="00977F55" w:rsidP="00977F55">
            <w:pPr>
              <w:pStyle w:val="TABLEAUCONTENU"/>
            </w:pPr>
            <w:r w:rsidRPr="00150929">
              <w:t>Caractéristiques du projet</w:t>
            </w:r>
          </w:p>
        </w:tc>
        <w:tc>
          <w:tcPr>
            <w:tcW w:w="6606"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 xml:space="preserve">Le projet </w:t>
            </w:r>
            <w:proofErr w:type="spellStart"/>
            <w:r w:rsidRPr="00977F55">
              <w:t>Universalis</w:t>
            </w:r>
            <w:proofErr w:type="spellEnd"/>
            <w:r w:rsidRPr="00977F55">
              <w:t xml:space="preserve"> Park est un développement de très grande ampleur, principalement résidentiel, situé sur le site de la Plaine (ULB/VUB -Delta) et qui se déroulera en plusieurs phases. Ce projet aura une grande mixité résidentielle, alliant les appartements aux logements étudiants, maisons de repos/résidences services et crèches. Une composante bureaux pourrait également être intégrée au développement.</w:t>
            </w:r>
          </w:p>
        </w:tc>
      </w:tr>
      <w:tr w:rsidR="00977F55" w:rsidRPr="00E748E1" w:rsidTr="00E74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77F55" w:rsidRPr="00150929" w:rsidRDefault="00977F55" w:rsidP="00977F55">
            <w:pPr>
              <w:pStyle w:val="TABLEAUCONTENU"/>
            </w:pPr>
            <w:r w:rsidRPr="00150929">
              <w:t>Unités résidentielles</w:t>
            </w:r>
          </w:p>
        </w:tc>
        <w:tc>
          <w:tcPr>
            <w:tcW w:w="6606"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Phase 1 – 161 appartements et une crèche</w:t>
            </w:r>
          </w:p>
        </w:tc>
      </w:tr>
      <w:tr w:rsidR="00977F55" w:rsidRPr="00E748E1" w:rsidTr="00E748E1">
        <w:tc>
          <w:tcPr>
            <w:cnfStyle w:val="001000000000" w:firstRow="0" w:lastRow="0" w:firstColumn="1" w:lastColumn="0" w:oddVBand="0" w:evenVBand="0" w:oddHBand="0" w:evenHBand="0" w:firstRowFirstColumn="0" w:firstRowLastColumn="0" w:lastRowFirstColumn="0" w:lastRowLastColumn="0"/>
            <w:tcW w:w="2410" w:type="dxa"/>
          </w:tcPr>
          <w:p w:rsidR="00977F55" w:rsidRPr="00150929" w:rsidRDefault="00977F55" w:rsidP="00977F55">
            <w:pPr>
              <w:pStyle w:val="TABLEAUCONTENU"/>
            </w:pPr>
            <w:r w:rsidRPr="00150929">
              <w:t>Programme</w:t>
            </w:r>
          </w:p>
        </w:tc>
        <w:tc>
          <w:tcPr>
            <w:tcW w:w="6606"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 600 appartements</w:t>
            </w:r>
          </w:p>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 650 logements étudiants</w:t>
            </w:r>
          </w:p>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2 maisons de repos</w:t>
            </w:r>
          </w:p>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Quelques unités commerciales</w:t>
            </w:r>
          </w:p>
        </w:tc>
      </w:tr>
      <w:tr w:rsidR="00977F55" w:rsidRPr="00E748E1" w:rsidTr="00E74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77F55" w:rsidRPr="00150929" w:rsidRDefault="00977F55" w:rsidP="00977F55">
            <w:pPr>
              <w:pStyle w:val="TABLEAUCONTENU"/>
            </w:pPr>
            <w:r w:rsidRPr="00150929">
              <w:t>Permis obtenu</w:t>
            </w:r>
          </w:p>
        </w:tc>
        <w:tc>
          <w:tcPr>
            <w:tcW w:w="6606"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 xml:space="preserve">Permis d’urbanisme : Oui, partiellement </w:t>
            </w:r>
            <w:r w:rsidR="003C4D75">
              <w:t xml:space="preserve">(phase 1) </w:t>
            </w:r>
            <w:r w:rsidRPr="00977F55">
              <w:t>– Permis d’environnement : Oui, partiellement</w:t>
            </w:r>
            <w:r w:rsidR="003C4D75">
              <w:t xml:space="preserve"> (phase 1)</w:t>
            </w:r>
          </w:p>
        </w:tc>
      </w:tr>
      <w:tr w:rsidR="00977F55" w:rsidRPr="00E748E1" w:rsidTr="00E748E1">
        <w:tc>
          <w:tcPr>
            <w:cnfStyle w:val="001000000000" w:firstRow="0" w:lastRow="0" w:firstColumn="1" w:lastColumn="0" w:oddVBand="0" w:evenVBand="0" w:oddHBand="0" w:evenHBand="0" w:firstRowFirstColumn="0" w:firstRowLastColumn="0" w:lastRowFirstColumn="0" w:lastRowLastColumn="0"/>
            <w:tcW w:w="2410" w:type="dxa"/>
          </w:tcPr>
          <w:p w:rsidR="00977F55" w:rsidRPr="00150929" w:rsidRDefault="00977F55" w:rsidP="00977F55">
            <w:pPr>
              <w:pStyle w:val="TABLEAUCONTENU"/>
            </w:pPr>
            <w:r w:rsidRPr="00150929">
              <w:t>Période de construction</w:t>
            </w:r>
          </w:p>
        </w:tc>
        <w:tc>
          <w:tcPr>
            <w:tcW w:w="6606"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Q4 2015 – Q4 2024</w:t>
            </w:r>
          </w:p>
        </w:tc>
      </w:tr>
    </w:tbl>
    <w:p w:rsidR="007C2125" w:rsidRDefault="007C2125" w:rsidP="00E95C2B">
      <w:pPr>
        <w:widowControl w:val="0"/>
      </w:pPr>
    </w:p>
    <w:tbl>
      <w:tblPr>
        <w:tblStyle w:val="GridTable4-Accent120"/>
        <w:tblW w:w="0" w:type="auto"/>
        <w:tblCellMar>
          <w:top w:w="57" w:type="dxa"/>
          <w:left w:w="57" w:type="dxa"/>
          <w:bottom w:w="57" w:type="dxa"/>
          <w:right w:w="57" w:type="dxa"/>
        </w:tblCellMar>
        <w:tblLook w:val="04A0" w:firstRow="1" w:lastRow="0" w:firstColumn="1" w:lastColumn="0" w:noHBand="0" w:noVBand="1"/>
      </w:tblPr>
      <w:tblGrid>
        <w:gridCol w:w="2410"/>
        <w:gridCol w:w="6606"/>
      </w:tblGrid>
      <w:tr w:rsidR="00E748E1" w:rsidRPr="00E748E1" w:rsidTr="00E748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rsidR="00E748E1" w:rsidRPr="00EF0D9F" w:rsidRDefault="00E748E1" w:rsidP="00EF0D9F">
            <w:pPr>
              <w:pStyle w:val="TABLEAUTETEDECOLONNE"/>
            </w:pPr>
            <w:r w:rsidRPr="00197CD3">
              <w:rPr>
                <w:caps/>
              </w:rPr>
              <w:t>O’Sea</w:t>
            </w:r>
            <w:r w:rsidRPr="00EF0D9F">
              <w:t xml:space="preserve"> – 88.500 m² - Ostende, Belgique</w:t>
            </w:r>
          </w:p>
        </w:tc>
      </w:tr>
      <w:tr w:rsidR="00977F55" w:rsidRPr="00E748E1" w:rsidTr="00E74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77F55" w:rsidRPr="00977F55" w:rsidRDefault="00977F55" w:rsidP="00977F55">
            <w:pPr>
              <w:pStyle w:val="TABLEAUCONTENU"/>
            </w:pPr>
            <w:r w:rsidRPr="00FB1D46">
              <w:t>Situation au 3</w:t>
            </w:r>
            <w:r w:rsidRPr="00977F55">
              <w:t>0 juin 2017</w:t>
            </w:r>
          </w:p>
        </w:tc>
        <w:tc>
          <w:tcPr>
            <w:tcW w:w="6606"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 xml:space="preserve">Construction Phase 1 – 19.000 m² « </w:t>
            </w:r>
            <w:proofErr w:type="spellStart"/>
            <w:r w:rsidRPr="00977F55">
              <w:t>O’Sea</w:t>
            </w:r>
            <w:proofErr w:type="spellEnd"/>
            <w:r w:rsidRPr="00977F55">
              <w:t xml:space="preserve"> Charme » : </w:t>
            </w:r>
            <w:r w:rsidR="003C4D75">
              <w:t>en cours. 26</w:t>
            </w:r>
            <w:r w:rsidR="004C1633">
              <w:t xml:space="preserve">% </w:t>
            </w:r>
            <w:r w:rsidRPr="00977F55">
              <w:t>vendu</w:t>
            </w:r>
          </w:p>
        </w:tc>
      </w:tr>
      <w:tr w:rsidR="00977F55" w:rsidRPr="00E748E1" w:rsidTr="00E748E1">
        <w:tc>
          <w:tcPr>
            <w:cnfStyle w:val="001000000000" w:firstRow="0" w:lastRow="0" w:firstColumn="1" w:lastColumn="0" w:oddVBand="0" w:evenVBand="0" w:oddHBand="0" w:evenHBand="0" w:firstRowFirstColumn="0" w:firstRowLastColumn="0" w:lastRowFirstColumn="0" w:lastRowLastColumn="0"/>
            <w:tcW w:w="2410" w:type="dxa"/>
          </w:tcPr>
          <w:p w:rsidR="00977F55" w:rsidRPr="00FB1D46" w:rsidRDefault="00977F55" w:rsidP="00977F55">
            <w:pPr>
              <w:pStyle w:val="TABLEAUCONTENU"/>
            </w:pPr>
            <w:r w:rsidRPr="00FB1D46">
              <w:t>Caractéristiques du projet</w:t>
            </w:r>
          </w:p>
        </w:tc>
        <w:tc>
          <w:tcPr>
            <w:tcW w:w="6606"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Dans un quartier très bien situé d’Ostende – proche du front de mer – ce projet de complexe résidentiel durable est développé en plusieurs phases. Créant un nouveau quartier parfaitement intégré, il offre un choix de lieux de vie sur-mesure : maisons, appartements, logements en résidences-services, studios...</w:t>
            </w:r>
          </w:p>
        </w:tc>
      </w:tr>
      <w:tr w:rsidR="00977F55" w:rsidRPr="00E748E1" w:rsidTr="00E74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77F55" w:rsidRPr="00FB1D46" w:rsidRDefault="00977F55" w:rsidP="00977F55">
            <w:pPr>
              <w:pStyle w:val="TABLEAUCONTENU"/>
            </w:pPr>
            <w:r w:rsidRPr="00FB1D46">
              <w:t>Unités résidentielles</w:t>
            </w:r>
          </w:p>
        </w:tc>
        <w:tc>
          <w:tcPr>
            <w:tcW w:w="6606"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 xml:space="preserve">Phase 1 - </w:t>
            </w:r>
            <w:proofErr w:type="spellStart"/>
            <w:r w:rsidRPr="00977F55">
              <w:t>O’Sea</w:t>
            </w:r>
            <w:proofErr w:type="spellEnd"/>
            <w:r w:rsidRPr="00977F55">
              <w:t xml:space="preserve"> Charme : 10 maisons - 18 </w:t>
            </w:r>
            <w:r w:rsidR="008F61C9">
              <w:t>studios</w:t>
            </w:r>
            <w:r w:rsidRPr="00977F55">
              <w:t xml:space="preserve"> - 50 logements en résidences-servi</w:t>
            </w:r>
            <w:r w:rsidR="003C4D75">
              <w:t>ces - 36 appartements plus vastes - 57</w:t>
            </w:r>
            <w:r w:rsidRPr="00977F55">
              <w:t xml:space="preserve"> appartements (tour)</w:t>
            </w:r>
          </w:p>
        </w:tc>
      </w:tr>
      <w:tr w:rsidR="00977F55" w:rsidRPr="00E748E1" w:rsidTr="00E748E1">
        <w:tc>
          <w:tcPr>
            <w:cnfStyle w:val="001000000000" w:firstRow="0" w:lastRow="0" w:firstColumn="1" w:lastColumn="0" w:oddVBand="0" w:evenVBand="0" w:oddHBand="0" w:evenHBand="0" w:firstRowFirstColumn="0" w:firstRowLastColumn="0" w:lastRowFirstColumn="0" w:lastRowLastColumn="0"/>
            <w:tcW w:w="2410" w:type="dxa"/>
          </w:tcPr>
          <w:p w:rsidR="00977F55" w:rsidRPr="00FB1D46" w:rsidRDefault="00977F55" w:rsidP="00977F55">
            <w:pPr>
              <w:pStyle w:val="TABLEAUCONTENU"/>
            </w:pPr>
            <w:r w:rsidRPr="00FB1D46">
              <w:t>Programme</w:t>
            </w:r>
          </w:p>
        </w:tc>
        <w:tc>
          <w:tcPr>
            <w:tcW w:w="6606"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88.500 m² d'espaces résidentiels en 4 phases (8 ans).</w:t>
            </w:r>
          </w:p>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 xml:space="preserve">Phase 1 – 19.000 m² : 167 unités résidentielles - 3 commerces de détail - 1 restaurant - </w:t>
            </w:r>
          </w:p>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1 crèche</w:t>
            </w:r>
          </w:p>
        </w:tc>
      </w:tr>
      <w:tr w:rsidR="00977F55" w:rsidRPr="00E748E1" w:rsidTr="00E748E1">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2410" w:type="dxa"/>
          </w:tcPr>
          <w:p w:rsidR="00977F55" w:rsidRPr="00FB1D46" w:rsidRDefault="00977F55" w:rsidP="00977F55">
            <w:pPr>
              <w:pStyle w:val="TABLEAUCONTENU"/>
            </w:pPr>
            <w:r w:rsidRPr="00FB1D46">
              <w:t>Permis obtenus</w:t>
            </w:r>
          </w:p>
        </w:tc>
        <w:tc>
          <w:tcPr>
            <w:tcW w:w="6606"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Permis d’urbanisme : Oui - Permis d’environnement : Oui</w:t>
            </w:r>
          </w:p>
        </w:tc>
      </w:tr>
      <w:tr w:rsidR="00977F55" w:rsidRPr="00E748E1" w:rsidTr="00E748E1">
        <w:tc>
          <w:tcPr>
            <w:cnfStyle w:val="001000000000" w:firstRow="0" w:lastRow="0" w:firstColumn="1" w:lastColumn="0" w:oddVBand="0" w:evenVBand="0" w:oddHBand="0" w:evenHBand="0" w:firstRowFirstColumn="0" w:firstRowLastColumn="0" w:lastRowFirstColumn="0" w:lastRowLastColumn="0"/>
            <w:tcW w:w="2410" w:type="dxa"/>
          </w:tcPr>
          <w:p w:rsidR="00977F55" w:rsidRPr="00E748E1" w:rsidRDefault="00977F55" w:rsidP="00977F55">
            <w:pPr>
              <w:pStyle w:val="TABLEAUCONTENU"/>
            </w:pPr>
            <w:r w:rsidRPr="00E748E1">
              <w:t>Période de construction</w:t>
            </w:r>
          </w:p>
        </w:tc>
        <w:tc>
          <w:tcPr>
            <w:tcW w:w="6606"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Q1 2017 / 2019</w:t>
            </w:r>
          </w:p>
        </w:tc>
      </w:tr>
    </w:tbl>
    <w:p w:rsidR="00E748E1" w:rsidRPr="00E748E1" w:rsidRDefault="00E748E1" w:rsidP="00E95C2B">
      <w:pPr>
        <w:widowControl w:val="0"/>
      </w:pPr>
    </w:p>
    <w:p w:rsidR="000D317D" w:rsidRPr="000D317D" w:rsidRDefault="000D317D" w:rsidP="00E95C2B">
      <w:pPr>
        <w:pStyle w:val="ListParagraph"/>
        <w:widowControl w:val="0"/>
        <w:numPr>
          <w:ilvl w:val="0"/>
          <w:numId w:val="0"/>
        </w:numPr>
        <w:ind w:left="357"/>
      </w:pPr>
    </w:p>
    <w:p w:rsidR="00531370" w:rsidRDefault="00531370" w:rsidP="00E95C2B">
      <w:pPr>
        <w:widowControl w:val="0"/>
        <w:spacing w:after="80"/>
        <w:jc w:val="left"/>
      </w:pPr>
      <w:r>
        <w:br w:type="page"/>
      </w:r>
    </w:p>
    <w:tbl>
      <w:tblPr>
        <w:tblStyle w:val="GridTable4-Accent13"/>
        <w:tblW w:w="0" w:type="auto"/>
        <w:tblCellMar>
          <w:top w:w="57" w:type="dxa"/>
          <w:left w:w="57" w:type="dxa"/>
          <w:bottom w:w="57" w:type="dxa"/>
          <w:right w:w="57" w:type="dxa"/>
        </w:tblCellMar>
        <w:tblLook w:val="04A0" w:firstRow="1" w:lastRow="0" w:firstColumn="1" w:lastColumn="0" w:noHBand="0" w:noVBand="1"/>
      </w:tblPr>
      <w:tblGrid>
        <w:gridCol w:w="2410"/>
        <w:gridCol w:w="6606"/>
      </w:tblGrid>
      <w:tr w:rsidR="00FB1D46" w:rsidRPr="00FB1D46" w:rsidTr="00FB1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rsidR="00FB1D46" w:rsidRPr="00EF0D9F" w:rsidRDefault="003A6714" w:rsidP="00EF0D9F">
            <w:pPr>
              <w:pStyle w:val="TABLEAUTETEDECOLONNE"/>
            </w:pPr>
            <w:r>
              <w:rPr>
                <w:caps/>
              </w:rPr>
              <w:lastRenderedPageBreak/>
              <w:t>Granary</w:t>
            </w:r>
            <w:r w:rsidR="00FB1D46" w:rsidRPr="00197CD3">
              <w:rPr>
                <w:caps/>
              </w:rPr>
              <w:t xml:space="preserve"> Island</w:t>
            </w:r>
            <w:r w:rsidR="00FB1D46" w:rsidRPr="00EF0D9F">
              <w:t xml:space="preserve"> – 60.000 m² - Gdansk, Pologne, (Quote-Part </w:t>
            </w:r>
            <w:r w:rsidR="000108EA" w:rsidRPr="00EF0D9F">
              <w:t>IMMOBEL</w:t>
            </w:r>
            <w:r w:rsidR="00FB1D46" w:rsidRPr="00EF0D9F">
              <w:t> : 90%)</w:t>
            </w:r>
          </w:p>
        </w:tc>
      </w:tr>
      <w:tr w:rsidR="00977F55" w:rsidRPr="00977F55" w:rsidTr="00FB1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77F55" w:rsidRPr="00977F55" w:rsidRDefault="00977F55" w:rsidP="00977F55">
            <w:pPr>
              <w:pStyle w:val="TABLEAUCONTENU"/>
            </w:pPr>
            <w:r w:rsidRPr="00EF4410">
              <w:t>Situation au 3</w:t>
            </w:r>
            <w:r w:rsidRPr="00977F55">
              <w:t>0 juin 2017</w:t>
            </w:r>
          </w:p>
        </w:tc>
        <w:tc>
          <w:tcPr>
            <w:tcW w:w="6606"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 xml:space="preserve">Phase 1 : </w:t>
            </w:r>
          </w:p>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Procédures administratives : la décision concernant le permis de construire d’un pont piéton a été rendue le 30 mai 2017.</w:t>
            </w:r>
          </w:p>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La notification aux autorités de Gdańsk en vue de la reprise des travaux préparatoires (procédure de conception) a été envoyée le 8 juin 2017.</w:t>
            </w:r>
          </w:p>
          <w:p w:rsidR="003A6714" w:rsidRDefault="003A6714" w:rsidP="00977F55">
            <w:pPr>
              <w:pStyle w:val="TABLEAUCONTENU"/>
              <w:cnfStyle w:val="000000100000" w:firstRow="0" w:lastRow="0" w:firstColumn="0" w:lastColumn="0" w:oddVBand="0" w:evenVBand="0" w:oddHBand="1" w:evenHBand="0" w:firstRowFirstColumn="0" w:firstRowLastColumn="0" w:lastRowFirstColumn="0" w:lastRowLastColumn="0"/>
            </w:pPr>
          </w:p>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Situation actuelle des réservations :</w:t>
            </w:r>
          </w:p>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Unités distinctes de l’hôtel : 65 sur 84 réservées, soit 77% de la surface totale</w:t>
            </w:r>
          </w:p>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Commerces rez-de-chaussée : 9 sur 10 réservés, soit 94% de la surface totale</w:t>
            </w:r>
          </w:p>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Commerces 1er étage : 0% de réservations</w:t>
            </w:r>
          </w:p>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Parking : 48 réservations sur 133</w:t>
            </w:r>
          </w:p>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 xml:space="preserve">L’hôtel est </w:t>
            </w:r>
            <w:proofErr w:type="spellStart"/>
            <w:r w:rsidRPr="00977F55">
              <w:t>prévendu</w:t>
            </w:r>
            <w:proofErr w:type="spellEnd"/>
            <w:r w:rsidRPr="00977F55">
              <w:t xml:space="preserve"> à UBM</w:t>
            </w:r>
          </w:p>
        </w:tc>
      </w:tr>
      <w:tr w:rsidR="00977F55" w:rsidRPr="00977F55" w:rsidTr="00FB1D46">
        <w:tc>
          <w:tcPr>
            <w:cnfStyle w:val="001000000000" w:firstRow="0" w:lastRow="0" w:firstColumn="1" w:lastColumn="0" w:oddVBand="0" w:evenVBand="0" w:oddHBand="0" w:evenHBand="0" w:firstRowFirstColumn="0" w:firstRowLastColumn="0" w:lastRowFirstColumn="0" w:lastRowLastColumn="0"/>
            <w:tcW w:w="2410" w:type="dxa"/>
          </w:tcPr>
          <w:p w:rsidR="00977F55" w:rsidRPr="00EF4410" w:rsidRDefault="00977F55" w:rsidP="00977F55">
            <w:pPr>
              <w:pStyle w:val="TABLEAUCONTENU"/>
            </w:pPr>
            <w:r w:rsidRPr="00EF4410">
              <w:t>Caractéristiques du projet</w:t>
            </w:r>
          </w:p>
        </w:tc>
        <w:tc>
          <w:tcPr>
            <w:tcW w:w="6606"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 xml:space="preserve">Le projet implique la préservation des vestiges historiques des greniers. Ils seront complétés par des logements fonctionnels modernes et un espace public. Pendant la première phase du projet de construction du pont piéton sur la </w:t>
            </w:r>
            <w:proofErr w:type="spellStart"/>
            <w:r w:rsidRPr="00977F55">
              <w:t>Motława</w:t>
            </w:r>
            <w:proofErr w:type="spellEnd"/>
            <w:r w:rsidRPr="00977F55">
              <w:t xml:space="preserve">, le pont </w:t>
            </w:r>
            <w:proofErr w:type="spellStart"/>
            <w:r w:rsidRPr="00977F55">
              <w:t>Stągiewny</w:t>
            </w:r>
            <w:proofErr w:type="spellEnd"/>
            <w:r w:rsidRPr="00977F55">
              <w:t xml:space="preserve"> sera reconstruit et un nouveau mécanisme de levage sera ajouté. La marina sera également étendue. La rue </w:t>
            </w:r>
            <w:proofErr w:type="spellStart"/>
            <w:r w:rsidRPr="00977F55">
              <w:t>Chmielna</w:t>
            </w:r>
            <w:proofErr w:type="spellEnd"/>
            <w:r w:rsidRPr="00977F55">
              <w:t xml:space="preserve"> et le carrefour avec le boulevard </w:t>
            </w:r>
            <w:proofErr w:type="spellStart"/>
            <w:r w:rsidRPr="00977F55">
              <w:t>Podwale</w:t>
            </w:r>
            <w:proofErr w:type="spellEnd"/>
            <w:r w:rsidRPr="00977F55">
              <w:t xml:space="preserve"> </w:t>
            </w:r>
            <w:proofErr w:type="spellStart"/>
            <w:r w:rsidRPr="00977F55">
              <w:t>Przedmiejskie</w:t>
            </w:r>
            <w:proofErr w:type="spellEnd"/>
            <w:r w:rsidRPr="00977F55">
              <w:t xml:space="preserve"> seront rénovés, ce qui améliorera le système et l’infrastructure de transport. Le quai </w:t>
            </w:r>
            <w:proofErr w:type="spellStart"/>
            <w:r w:rsidRPr="00977F55">
              <w:t>Długie</w:t>
            </w:r>
            <w:proofErr w:type="spellEnd"/>
            <w:r w:rsidRPr="00977F55">
              <w:t xml:space="preserve"> </w:t>
            </w:r>
            <w:proofErr w:type="spellStart"/>
            <w:r w:rsidRPr="00977F55">
              <w:t>Pobrzeże</w:t>
            </w:r>
            <w:proofErr w:type="spellEnd"/>
            <w:r w:rsidRPr="00977F55">
              <w:t xml:space="preserve"> sera quant à lui modernisé. Le nombre d’emplacements prévus dans le parking souterrain était plus élevé que la quantité nécessaire pour les logements. Une partie sera donc mise à la disposition des visiteurs de </w:t>
            </w:r>
            <w:proofErr w:type="spellStart"/>
            <w:r w:rsidRPr="00977F55">
              <w:t>Granaria</w:t>
            </w:r>
            <w:proofErr w:type="spellEnd"/>
            <w:r w:rsidRPr="00977F55">
              <w:t>.</w:t>
            </w:r>
          </w:p>
        </w:tc>
      </w:tr>
      <w:tr w:rsidR="00977F55" w:rsidRPr="00977F55" w:rsidTr="00FB1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77F55" w:rsidRPr="00EF4410" w:rsidRDefault="00977F55" w:rsidP="00977F55">
            <w:pPr>
              <w:pStyle w:val="TABLEAUCONTENU"/>
            </w:pPr>
            <w:r w:rsidRPr="00EF4410">
              <w:t>Unités résidentielles</w:t>
            </w:r>
          </w:p>
        </w:tc>
        <w:tc>
          <w:tcPr>
            <w:tcW w:w="6606"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Phase 1 : 116 logements – 1 hôtel 4 étoiles – 11 unités commerciales</w:t>
            </w:r>
          </w:p>
        </w:tc>
      </w:tr>
      <w:tr w:rsidR="00977F55" w:rsidRPr="00977F55" w:rsidTr="00FB1D46">
        <w:tc>
          <w:tcPr>
            <w:cnfStyle w:val="001000000000" w:firstRow="0" w:lastRow="0" w:firstColumn="1" w:lastColumn="0" w:oddVBand="0" w:evenVBand="0" w:oddHBand="0" w:evenHBand="0" w:firstRowFirstColumn="0" w:firstRowLastColumn="0" w:lastRowFirstColumn="0" w:lastRowLastColumn="0"/>
            <w:tcW w:w="2410" w:type="dxa"/>
          </w:tcPr>
          <w:p w:rsidR="00977F55" w:rsidRPr="00EF4410" w:rsidRDefault="00977F55" w:rsidP="00977F55">
            <w:pPr>
              <w:pStyle w:val="TABLEAUCONTENU"/>
            </w:pPr>
            <w:r w:rsidRPr="00EF4410">
              <w:t>Programme</w:t>
            </w:r>
          </w:p>
        </w:tc>
        <w:tc>
          <w:tcPr>
            <w:tcW w:w="6606"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60.000 m² d’espaces résidentiels en 4 phases, 1 ou 2 hôtel(s), espaces commerciaux au rez-de-chaussée.</w:t>
            </w:r>
          </w:p>
        </w:tc>
      </w:tr>
      <w:tr w:rsidR="00977F55" w:rsidRPr="00977F55" w:rsidTr="00FB1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77F55" w:rsidRPr="00EF4410" w:rsidRDefault="00977F55" w:rsidP="00977F55">
            <w:pPr>
              <w:pStyle w:val="TABLEAUCONTENU"/>
            </w:pPr>
            <w:r w:rsidRPr="00EF4410">
              <w:t>Permis obtenu</w:t>
            </w:r>
          </w:p>
        </w:tc>
        <w:tc>
          <w:tcPr>
            <w:tcW w:w="6606"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 xml:space="preserve">Permis d’aménagement : Oui </w:t>
            </w:r>
            <w:r w:rsidR="003A6714">
              <w:t>(phase 1)</w:t>
            </w:r>
          </w:p>
        </w:tc>
      </w:tr>
      <w:tr w:rsidR="00977F55" w:rsidRPr="00FB1D46" w:rsidTr="00FB1D46">
        <w:tc>
          <w:tcPr>
            <w:cnfStyle w:val="001000000000" w:firstRow="0" w:lastRow="0" w:firstColumn="1" w:lastColumn="0" w:oddVBand="0" w:evenVBand="0" w:oddHBand="0" w:evenHBand="0" w:firstRowFirstColumn="0" w:firstRowLastColumn="0" w:lastRowFirstColumn="0" w:lastRowLastColumn="0"/>
            <w:tcW w:w="2410" w:type="dxa"/>
          </w:tcPr>
          <w:p w:rsidR="00977F55" w:rsidRPr="00EF4410" w:rsidRDefault="00977F55" w:rsidP="00977F55">
            <w:pPr>
              <w:pStyle w:val="TABLEAUCONTENU"/>
            </w:pPr>
            <w:r w:rsidRPr="00EF4410">
              <w:t>Période de construction</w:t>
            </w:r>
          </w:p>
        </w:tc>
        <w:tc>
          <w:tcPr>
            <w:tcW w:w="6606"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Q1 2017/2023</w:t>
            </w:r>
          </w:p>
        </w:tc>
      </w:tr>
    </w:tbl>
    <w:p w:rsidR="00EF4410" w:rsidRDefault="00EF4410" w:rsidP="00E95C2B">
      <w:pPr>
        <w:widowControl w:val="0"/>
        <w:spacing w:after="80"/>
        <w:jc w:val="left"/>
      </w:pPr>
    </w:p>
    <w:tbl>
      <w:tblPr>
        <w:tblStyle w:val="GridTable4-Accent14"/>
        <w:tblW w:w="0" w:type="auto"/>
        <w:tblCellMar>
          <w:top w:w="57" w:type="dxa"/>
          <w:left w:w="57" w:type="dxa"/>
          <w:bottom w:w="57" w:type="dxa"/>
          <w:right w:w="57" w:type="dxa"/>
        </w:tblCellMar>
        <w:tblLook w:val="04A0" w:firstRow="1" w:lastRow="0" w:firstColumn="1" w:lastColumn="0" w:noHBand="0" w:noVBand="1"/>
      </w:tblPr>
      <w:tblGrid>
        <w:gridCol w:w="2405"/>
        <w:gridCol w:w="6611"/>
      </w:tblGrid>
      <w:tr w:rsidR="00EF4410" w:rsidRPr="00EF4410" w:rsidTr="00EF44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rsidR="00EF4410" w:rsidRPr="00EF0D9F" w:rsidRDefault="003A6714" w:rsidP="00EF0D9F">
            <w:pPr>
              <w:pStyle w:val="TABLEAUTETEDECOLONNE"/>
            </w:pPr>
            <w:r>
              <w:t>MÖ</w:t>
            </w:r>
            <w:r w:rsidR="00EF4410" w:rsidRPr="00EF0D9F">
              <w:t xml:space="preserve">BIUS </w:t>
            </w:r>
            <w:r w:rsidR="00111CFE">
              <w:t>–</w:t>
            </w:r>
            <w:r w:rsidR="00EF4410" w:rsidRPr="00EF0D9F">
              <w:t xml:space="preserve"> </w:t>
            </w:r>
            <w:r w:rsidR="00111CFE">
              <w:t>60.000</w:t>
            </w:r>
            <w:r w:rsidR="00EF4410" w:rsidRPr="00EF0D9F">
              <w:t xml:space="preserve"> m² - Bruxelles, Belgique</w:t>
            </w:r>
          </w:p>
        </w:tc>
      </w:tr>
      <w:tr w:rsidR="00977F55" w:rsidRPr="00EF4410" w:rsidTr="00EF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77F55" w:rsidRPr="00977F55" w:rsidRDefault="00977F55" w:rsidP="00977F55">
            <w:pPr>
              <w:pStyle w:val="TABLEAUCONTENU"/>
            </w:pPr>
            <w:r w:rsidRPr="00EF4410">
              <w:t xml:space="preserve">Situation au </w:t>
            </w:r>
            <w:r w:rsidRPr="00977F55">
              <w:t>30 juin 2017</w:t>
            </w:r>
          </w:p>
        </w:tc>
        <w:tc>
          <w:tcPr>
            <w:tcW w:w="6611"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Les procédures de demande de permis sont en cours, nous devrions les obtenir cette année, conformément aux engagements pris avec Allianz.</w:t>
            </w:r>
          </w:p>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Pour la tour I, les discussions avec Allianz se déroule conformément au contrat, un programme définitif a été arrêté et la procédure de soumission aux entrepreneurs a été lancée.</w:t>
            </w:r>
          </w:p>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Pour la tour II, des contacts avec des occupants potentiels ont été pris, pas encore de discussions concrètes à ce stade.</w:t>
            </w:r>
          </w:p>
        </w:tc>
      </w:tr>
      <w:tr w:rsidR="00977F55" w:rsidRPr="00EF4410" w:rsidTr="00EF4410">
        <w:tc>
          <w:tcPr>
            <w:cnfStyle w:val="001000000000" w:firstRow="0" w:lastRow="0" w:firstColumn="1" w:lastColumn="0" w:oddVBand="0" w:evenVBand="0" w:oddHBand="0" w:evenHBand="0" w:firstRowFirstColumn="0" w:firstRowLastColumn="0" w:lastRowFirstColumn="0" w:lastRowLastColumn="0"/>
            <w:tcW w:w="2405" w:type="dxa"/>
          </w:tcPr>
          <w:p w:rsidR="00977F55" w:rsidRPr="00EF4410" w:rsidRDefault="00977F55" w:rsidP="00977F55">
            <w:pPr>
              <w:pStyle w:val="TABLEAUCONTENU"/>
            </w:pPr>
            <w:r w:rsidRPr="00EF4410">
              <w:t>Caractéristiques du projet</w:t>
            </w:r>
          </w:p>
        </w:tc>
        <w:tc>
          <w:tcPr>
            <w:tcW w:w="6611"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Le projet réunit deux élégantes tours de forme elliptique implantées au nord de Bruxelles, au cœur même du quartier d’affaires. Les bâtiments, entièrement passifs, offrent une vue panoramique à couper le souffle et font la part belle à la lumière naturelle. Organisés autour d’un noyau central, les plateaux de bureaux bénéficient d’un design épuré et sont pourvus d’une terrasse au 21ème étage.</w:t>
            </w:r>
          </w:p>
        </w:tc>
      </w:tr>
      <w:tr w:rsidR="00977F55" w:rsidRPr="00EF4410" w:rsidTr="00EF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77F55" w:rsidRPr="00EF4410" w:rsidRDefault="00977F55" w:rsidP="00977F55">
            <w:pPr>
              <w:pStyle w:val="TABLEAUCONTENU"/>
            </w:pPr>
            <w:r w:rsidRPr="00EF4410">
              <w:t>Programme</w:t>
            </w:r>
          </w:p>
        </w:tc>
        <w:tc>
          <w:tcPr>
            <w:tcW w:w="6611"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2 immeubles de bureaux</w:t>
            </w:r>
          </w:p>
        </w:tc>
      </w:tr>
      <w:tr w:rsidR="00977F55" w:rsidRPr="00EF4410" w:rsidTr="00EF4410">
        <w:tc>
          <w:tcPr>
            <w:cnfStyle w:val="001000000000" w:firstRow="0" w:lastRow="0" w:firstColumn="1" w:lastColumn="0" w:oddVBand="0" w:evenVBand="0" w:oddHBand="0" w:evenHBand="0" w:firstRowFirstColumn="0" w:firstRowLastColumn="0" w:lastRowFirstColumn="0" w:lastRowLastColumn="0"/>
            <w:tcW w:w="2405" w:type="dxa"/>
          </w:tcPr>
          <w:p w:rsidR="00977F55" w:rsidRPr="00EF4410" w:rsidRDefault="00977F55" w:rsidP="00977F55">
            <w:pPr>
              <w:pStyle w:val="TABLEAUCONTENU"/>
            </w:pPr>
            <w:r w:rsidRPr="00EF4410">
              <w:t>Permis obtenus</w:t>
            </w:r>
          </w:p>
        </w:tc>
        <w:tc>
          <w:tcPr>
            <w:tcW w:w="6611"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Permis d’urbanisme : Nouveau permis d'urbanisme introduit</w:t>
            </w:r>
          </w:p>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Permis d’environnement : Nouveau permis introduit</w:t>
            </w:r>
          </w:p>
        </w:tc>
      </w:tr>
      <w:tr w:rsidR="00977F55" w:rsidRPr="00EF4410" w:rsidTr="00EF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77F55" w:rsidRPr="00EF4410" w:rsidRDefault="00977F55" w:rsidP="00977F55">
            <w:pPr>
              <w:pStyle w:val="TABLEAUCONTENU"/>
            </w:pPr>
            <w:r w:rsidRPr="00EF4410">
              <w:t>Période de construction</w:t>
            </w:r>
          </w:p>
        </w:tc>
        <w:tc>
          <w:tcPr>
            <w:tcW w:w="6611"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 xml:space="preserve">S.O. / S.O. </w:t>
            </w:r>
          </w:p>
        </w:tc>
      </w:tr>
    </w:tbl>
    <w:p w:rsidR="00DF3BC6" w:rsidRDefault="00DF3BC6" w:rsidP="00E95C2B">
      <w:pPr>
        <w:widowControl w:val="0"/>
        <w:spacing w:after="80"/>
        <w:jc w:val="left"/>
      </w:pPr>
    </w:p>
    <w:p w:rsidR="00DF3BC6" w:rsidRDefault="00DF3BC6" w:rsidP="00DF3BC6">
      <w:r>
        <w:br w:type="page"/>
      </w:r>
    </w:p>
    <w:tbl>
      <w:tblPr>
        <w:tblStyle w:val="GridTable4-Accent15"/>
        <w:tblW w:w="0" w:type="auto"/>
        <w:tblCellMar>
          <w:top w:w="57" w:type="dxa"/>
          <w:left w:w="57" w:type="dxa"/>
          <w:bottom w:w="57" w:type="dxa"/>
          <w:right w:w="57" w:type="dxa"/>
        </w:tblCellMar>
        <w:tblLook w:val="04A0" w:firstRow="1" w:lastRow="0" w:firstColumn="1" w:lastColumn="0" w:noHBand="0" w:noVBand="1"/>
      </w:tblPr>
      <w:tblGrid>
        <w:gridCol w:w="2410"/>
        <w:gridCol w:w="6606"/>
      </w:tblGrid>
      <w:tr w:rsidR="00EF4410" w:rsidRPr="00EF4410" w:rsidTr="00EF44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rsidR="00EF4410" w:rsidRPr="00EF0D9F" w:rsidRDefault="00EF4410" w:rsidP="00EF0D9F">
            <w:pPr>
              <w:pStyle w:val="TABLEAUTETEDECOLONNE"/>
            </w:pPr>
            <w:r w:rsidRPr="00EF0D9F">
              <w:lastRenderedPageBreak/>
              <w:t>BELAIR (RAC 4) – 5</w:t>
            </w:r>
            <w:r w:rsidR="00DF3BC6">
              <w:t>5.600</w:t>
            </w:r>
            <w:r w:rsidRPr="00EF0D9F">
              <w:t xml:space="preserve"> m² - Bruxelles, Belgique, (Quote-Part </w:t>
            </w:r>
            <w:r w:rsidR="000108EA" w:rsidRPr="00EF0D9F">
              <w:t>IMMOBEL</w:t>
            </w:r>
            <w:r w:rsidRPr="00EF0D9F">
              <w:t> : 40%)</w:t>
            </w:r>
          </w:p>
        </w:tc>
      </w:tr>
      <w:tr w:rsidR="00977F55" w:rsidRPr="00EF4410" w:rsidTr="00EF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77F55" w:rsidRPr="00977F55" w:rsidRDefault="00977F55" w:rsidP="00977F55">
            <w:pPr>
              <w:pStyle w:val="TABLEAUCONTENU"/>
            </w:pPr>
            <w:r w:rsidRPr="00EF4410">
              <w:t xml:space="preserve">Situation au </w:t>
            </w:r>
            <w:r w:rsidRPr="00977F55">
              <w:t>30 juin 2017</w:t>
            </w:r>
          </w:p>
        </w:tc>
        <w:tc>
          <w:tcPr>
            <w:tcW w:w="6606"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Permis d’urbanisme déclaré complet et permis d’envi</w:t>
            </w:r>
            <w:r w:rsidR="004C1633">
              <w:t>ronnement sera déclaré complet juillet/a</w:t>
            </w:r>
            <w:r w:rsidRPr="00977F55">
              <w:t xml:space="preserve">oût. </w:t>
            </w:r>
          </w:p>
        </w:tc>
      </w:tr>
      <w:tr w:rsidR="00977F55" w:rsidRPr="00EF4410" w:rsidTr="00EF4410">
        <w:tc>
          <w:tcPr>
            <w:cnfStyle w:val="001000000000" w:firstRow="0" w:lastRow="0" w:firstColumn="1" w:lastColumn="0" w:oddVBand="0" w:evenVBand="0" w:oddHBand="0" w:evenHBand="0" w:firstRowFirstColumn="0" w:firstRowLastColumn="0" w:lastRowFirstColumn="0" w:lastRowLastColumn="0"/>
            <w:tcW w:w="2410" w:type="dxa"/>
          </w:tcPr>
          <w:p w:rsidR="00977F55" w:rsidRPr="00EF4410" w:rsidRDefault="00977F55" w:rsidP="00977F55">
            <w:pPr>
              <w:pStyle w:val="TABLEAUCONTENU"/>
            </w:pPr>
            <w:r w:rsidRPr="00EF4410">
              <w:t>Caractéristiques du projet</w:t>
            </w:r>
          </w:p>
        </w:tc>
        <w:tc>
          <w:tcPr>
            <w:tcW w:w="6606"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La partie restante du titanesque redéveloppement de l’ancienne Cité Administrative prévoit un complexe résidentiel important, pourvu également de 5.000 m² d’espace commercial et de 6.100 m² d’équipement public.</w:t>
            </w:r>
          </w:p>
        </w:tc>
      </w:tr>
      <w:tr w:rsidR="00977F55" w:rsidRPr="00EF4410" w:rsidTr="00EF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77F55" w:rsidRPr="00EF4410" w:rsidRDefault="00977F55" w:rsidP="00977F55">
            <w:pPr>
              <w:pStyle w:val="TABLEAUCONTENU"/>
            </w:pPr>
            <w:r w:rsidRPr="00EF4410">
              <w:t>Unités résidentielles</w:t>
            </w:r>
          </w:p>
        </w:tc>
        <w:tc>
          <w:tcPr>
            <w:tcW w:w="6606"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460</w:t>
            </w:r>
          </w:p>
        </w:tc>
      </w:tr>
      <w:tr w:rsidR="00977F55" w:rsidRPr="00EF4410" w:rsidTr="00EF4410">
        <w:tc>
          <w:tcPr>
            <w:cnfStyle w:val="001000000000" w:firstRow="0" w:lastRow="0" w:firstColumn="1" w:lastColumn="0" w:oddVBand="0" w:evenVBand="0" w:oddHBand="0" w:evenHBand="0" w:firstRowFirstColumn="0" w:firstRowLastColumn="0" w:lastRowFirstColumn="0" w:lastRowLastColumn="0"/>
            <w:tcW w:w="2410" w:type="dxa"/>
          </w:tcPr>
          <w:p w:rsidR="00977F55" w:rsidRPr="00EF4410" w:rsidRDefault="00977F55" w:rsidP="00977F55">
            <w:pPr>
              <w:pStyle w:val="TABLEAUCONTENU"/>
            </w:pPr>
            <w:r w:rsidRPr="00EF4410">
              <w:t>Programme</w:t>
            </w:r>
          </w:p>
        </w:tc>
        <w:tc>
          <w:tcPr>
            <w:tcW w:w="6606"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4.430 m² d’espace commercial, 7.840 m² d’équipement public, 44.150 m² d’espace résidentiel (logements classiques et conventionnés)</w:t>
            </w:r>
          </w:p>
        </w:tc>
      </w:tr>
      <w:tr w:rsidR="00977F55" w:rsidRPr="00EF4410" w:rsidTr="00EF44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77F55" w:rsidRPr="00EF4410" w:rsidRDefault="00977F55" w:rsidP="00977F55">
            <w:pPr>
              <w:pStyle w:val="TABLEAUCONTENU"/>
            </w:pPr>
            <w:r w:rsidRPr="00EF4410">
              <w:t>Permis obtenus</w:t>
            </w:r>
          </w:p>
        </w:tc>
        <w:tc>
          <w:tcPr>
            <w:tcW w:w="6606"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Permis d’urbanisme : Non - Permis d’environnement : Non</w:t>
            </w:r>
          </w:p>
        </w:tc>
      </w:tr>
      <w:tr w:rsidR="00977F55" w:rsidRPr="00EF4410" w:rsidTr="00EF4410">
        <w:tc>
          <w:tcPr>
            <w:cnfStyle w:val="001000000000" w:firstRow="0" w:lastRow="0" w:firstColumn="1" w:lastColumn="0" w:oddVBand="0" w:evenVBand="0" w:oddHBand="0" w:evenHBand="0" w:firstRowFirstColumn="0" w:firstRowLastColumn="0" w:lastRowFirstColumn="0" w:lastRowLastColumn="0"/>
            <w:tcW w:w="2410" w:type="dxa"/>
          </w:tcPr>
          <w:p w:rsidR="00977F55" w:rsidRPr="00EF4410" w:rsidRDefault="00977F55" w:rsidP="00977F55">
            <w:pPr>
              <w:pStyle w:val="TABLEAUCONTENU"/>
            </w:pPr>
            <w:r w:rsidRPr="00EF4410">
              <w:t>Période de construction</w:t>
            </w:r>
          </w:p>
        </w:tc>
        <w:tc>
          <w:tcPr>
            <w:tcW w:w="6606"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Q3 2018 / Q2 2022</w:t>
            </w:r>
          </w:p>
        </w:tc>
      </w:tr>
    </w:tbl>
    <w:p w:rsidR="00E0309E" w:rsidRDefault="00E0309E" w:rsidP="00E95C2B">
      <w:pPr>
        <w:widowControl w:val="0"/>
        <w:spacing w:after="80"/>
        <w:jc w:val="left"/>
      </w:pPr>
    </w:p>
    <w:tbl>
      <w:tblPr>
        <w:tblStyle w:val="GridTable4-Accent118"/>
        <w:tblW w:w="0" w:type="auto"/>
        <w:tblCellMar>
          <w:top w:w="57" w:type="dxa"/>
          <w:left w:w="57" w:type="dxa"/>
          <w:bottom w:w="57" w:type="dxa"/>
          <w:right w:w="57" w:type="dxa"/>
        </w:tblCellMar>
        <w:tblLook w:val="04A0" w:firstRow="1" w:lastRow="0" w:firstColumn="1" w:lastColumn="0" w:noHBand="0" w:noVBand="1"/>
      </w:tblPr>
      <w:tblGrid>
        <w:gridCol w:w="2405"/>
        <w:gridCol w:w="6611"/>
      </w:tblGrid>
      <w:tr w:rsidR="00977F55" w:rsidRPr="00E0309E" w:rsidTr="00E030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rsidR="00977F55" w:rsidRPr="00977F55" w:rsidRDefault="00977F55" w:rsidP="00977F55">
            <w:pPr>
              <w:pStyle w:val="TABLEAUTETEDECOLONNE"/>
            </w:pPr>
            <w:r w:rsidRPr="00977F55">
              <w:t>ERNEST - 50.000 m² - Bruxelles, Belgique (Quote-Part IMMOBEL : 50%)</w:t>
            </w:r>
          </w:p>
        </w:tc>
      </w:tr>
      <w:tr w:rsidR="00977F55" w:rsidRPr="00E0309E" w:rsidTr="00E0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77F55" w:rsidRPr="00977F55" w:rsidRDefault="00977F55" w:rsidP="00977F55">
            <w:pPr>
              <w:pStyle w:val="TABLEAUCONTENU"/>
            </w:pPr>
            <w:r w:rsidRPr="00E0309E">
              <w:t>Situation au 3</w:t>
            </w:r>
            <w:r w:rsidRPr="00977F55">
              <w:t>0 juin 2017</w:t>
            </w:r>
          </w:p>
        </w:tc>
        <w:tc>
          <w:tcPr>
            <w:tcW w:w="6611"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Phase 1 : Résidence pour étudiants &amp; séniorie : 100% vendus et entièrement livrés.</w:t>
            </w:r>
          </w:p>
          <w:p w:rsidR="00977F55" w:rsidRPr="00977F55" w:rsidRDefault="004C1633" w:rsidP="00977F55">
            <w:pPr>
              <w:pStyle w:val="TABLEAUCONTENU"/>
              <w:cnfStyle w:val="000000100000" w:firstRow="0" w:lastRow="0" w:firstColumn="0" w:lastColumn="0" w:oddVBand="0" w:evenVBand="0" w:oddHBand="1" w:evenHBand="0" w:firstRowFirstColumn="0" w:firstRowLastColumn="0" w:lastRowFirstColumn="0" w:lastRowLastColumn="0"/>
            </w:pPr>
            <w:r>
              <w:t>Espaces résidentiels : 96</w:t>
            </w:r>
            <w:r w:rsidR="00977F55" w:rsidRPr="00977F55">
              <w:t>% vendus et entièrement livrés.</w:t>
            </w:r>
          </w:p>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Phase 2 : logements en vente</w:t>
            </w:r>
            <w:r w:rsidR="004C1633">
              <w:t xml:space="preserve"> (25% vendus)</w:t>
            </w:r>
            <w:r w:rsidRPr="00977F55">
              <w:t>, chantier démolition en finalisation ; partie hôtelière vendue (sous condition de permis, obtenu Q2 2017)</w:t>
            </w:r>
          </w:p>
        </w:tc>
      </w:tr>
      <w:tr w:rsidR="00977F55" w:rsidRPr="00E0309E" w:rsidTr="00E0309E">
        <w:tc>
          <w:tcPr>
            <w:cnfStyle w:val="001000000000" w:firstRow="0" w:lastRow="0" w:firstColumn="1" w:lastColumn="0" w:oddVBand="0" w:evenVBand="0" w:oddHBand="0" w:evenHBand="0" w:firstRowFirstColumn="0" w:firstRowLastColumn="0" w:lastRowFirstColumn="0" w:lastRowLastColumn="0"/>
            <w:tcW w:w="2405" w:type="dxa"/>
          </w:tcPr>
          <w:p w:rsidR="00977F55" w:rsidRPr="00E0309E" w:rsidRDefault="00977F55" w:rsidP="00977F55">
            <w:pPr>
              <w:pStyle w:val="TABLEAUCONTENU"/>
            </w:pPr>
            <w:r w:rsidRPr="00E0309E">
              <w:t>Caractéristiques du projet</w:t>
            </w:r>
          </w:p>
        </w:tc>
        <w:tc>
          <w:tcPr>
            <w:tcW w:w="6611"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Entre l’avenue Louise et le Quartier européen, dans un quartier convoité, ce prestigieux projet de réhabilitation urbaine (ancien siège Solvay) est un complexe à usage mixte en plusieurs phases. Il se compose d’appartements de standing et de nombreux équipements favorisant la diversité des styles de vie (senior, familles, étudiants, hôtellerie).</w:t>
            </w:r>
          </w:p>
        </w:tc>
      </w:tr>
      <w:tr w:rsidR="00977F55" w:rsidRPr="00E0309E" w:rsidTr="00E0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77F55" w:rsidRPr="00E0309E" w:rsidRDefault="00977F55" w:rsidP="00977F55">
            <w:pPr>
              <w:pStyle w:val="TABLEAUCONTENU"/>
            </w:pPr>
            <w:r w:rsidRPr="00E0309E">
              <w:t>Unités résidentielles</w:t>
            </w:r>
          </w:p>
        </w:tc>
        <w:tc>
          <w:tcPr>
            <w:tcW w:w="6611"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 xml:space="preserve">Phase 1 : 110 appartements &amp; </w:t>
            </w:r>
            <w:proofErr w:type="spellStart"/>
            <w:r w:rsidRPr="00977F55">
              <w:t>penthouses</w:t>
            </w:r>
            <w:proofErr w:type="spellEnd"/>
            <w:r w:rsidRPr="00977F55">
              <w:t xml:space="preserve"> </w:t>
            </w:r>
            <w:r w:rsidR="004C1633">
              <w:t>–</w:t>
            </w:r>
            <w:r w:rsidRPr="00977F55">
              <w:t xml:space="preserve"> </w:t>
            </w:r>
            <w:r w:rsidR="004C1633">
              <w:t>(</w:t>
            </w:r>
            <w:r w:rsidRPr="00977F55">
              <w:t xml:space="preserve">95 chambres pour étudiants (“The Place to”) - 1 séniorie (114 lits) </w:t>
            </w:r>
          </w:p>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 xml:space="preserve">Phase 2 : 198 appartements &amp; </w:t>
            </w:r>
            <w:proofErr w:type="spellStart"/>
            <w:r w:rsidRPr="00977F55">
              <w:t>penthouses</w:t>
            </w:r>
            <w:proofErr w:type="spellEnd"/>
            <w:r w:rsidRPr="00977F55">
              <w:t xml:space="preserve"> - 1 crèche - 1 hôtel</w:t>
            </w:r>
          </w:p>
        </w:tc>
      </w:tr>
      <w:tr w:rsidR="00977F55" w:rsidRPr="00E0309E" w:rsidTr="00E0309E">
        <w:tc>
          <w:tcPr>
            <w:cnfStyle w:val="001000000000" w:firstRow="0" w:lastRow="0" w:firstColumn="1" w:lastColumn="0" w:oddVBand="0" w:evenVBand="0" w:oddHBand="0" w:evenHBand="0" w:firstRowFirstColumn="0" w:firstRowLastColumn="0" w:lastRowFirstColumn="0" w:lastRowLastColumn="0"/>
            <w:tcW w:w="2405" w:type="dxa"/>
          </w:tcPr>
          <w:p w:rsidR="00977F55" w:rsidRPr="00E0309E" w:rsidRDefault="00977F55" w:rsidP="00977F55">
            <w:pPr>
              <w:pStyle w:val="TABLEAUCONTENU"/>
            </w:pPr>
            <w:r w:rsidRPr="00E0309E">
              <w:t>Programme</w:t>
            </w:r>
          </w:p>
        </w:tc>
        <w:tc>
          <w:tcPr>
            <w:tcW w:w="6611"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50.000 m² regroupant des espaces résidentiels, une résidence pour étudiants, une maison de repos, une crèche et un hôtel ainsi que 6 surfaces de bureaux et commerces</w:t>
            </w:r>
          </w:p>
        </w:tc>
      </w:tr>
      <w:tr w:rsidR="00977F55" w:rsidRPr="00E0309E" w:rsidTr="00E0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77F55" w:rsidRPr="00E0309E" w:rsidRDefault="00977F55" w:rsidP="00977F55">
            <w:pPr>
              <w:pStyle w:val="TABLEAUCONTENU"/>
            </w:pPr>
            <w:r w:rsidRPr="00E0309E">
              <w:t>Permis obtenus</w:t>
            </w:r>
          </w:p>
        </w:tc>
        <w:tc>
          <w:tcPr>
            <w:tcW w:w="6611"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Permis d’urbanisme : Oui - Permis d’environnement : Oui</w:t>
            </w:r>
          </w:p>
        </w:tc>
      </w:tr>
      <w:tr w:rsidR="00977F55" w:rsidRPr="00E0309E" w:rsidTr="00E0309E">
        <w:tc>
          <w:tcPr>
            <w:cnfStyle w:val="001000000000" w:firstRow="0" w:lastRow="0" w:firstColumn="1" w:lastColumn="0" w:oddVBand="0" w:evenVBand="0" w:oddHBand="0" w:evenHBand="0" w:firstRowFirstColumn="0" w:firstRowLastColumn="0" w:lastRowFirstColumn="0" w:lastRowLastColumn="0"/>
            <w:tcW w:w="2405" w:type="dxa"/>
          </w:tcPr>
          <w:p w:rsidR="00977F55" w:rsidRPr="00E0309E" w:rsidRDefault="00977F55" w:rsidP="00977F55">
            <w:pPr>
              <w:pStyle w:val="TABLEAUCONTENU"/>
            </w:pPr>
            <w:r w:rsidRPr="00E0309E">
              <w:t>Période de construction</w:t>
            </w:r>
          </w:p>
        </w:tc>
        <w:tc>
          <w:tcPr>
            <w:tcW w:w="6611"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 xml:space="preserve">Phase 1 : Partiellement terminée (2014-2016) </w:t>
            </w:r>
          </w:p>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Phase 2 : Q2 2017 (démolitions) / constructions Q4 2017 - Q4 2019</w:t>
            </w:r>
          </w:p>
        </w:tc>
      </w:tr>
    </w:tbl>
    <w:p w:rsidR="006425F1" w:rsidRDefault="006425F1" w:rsidP="00E95C2B">
      <w:pPr>
        <w:widowControl w:val="0"/>
        <w:spacing w:after="80"/>
        <w:jc w:val="left"/>
      </w:pPr>
    </w:p>
    <w:tbl>
      <w:tblPr>
        <w:tblStyle w:val="GridTable4-Accent118"/>
        <w:tblW w:w="0" w:type="auto"/>
        <w:tblCellMar>
          <w:top w:w="57" w:type="dxa"/>
          <w:left w:w="57" w:type="dxa"/>
          <w:bottom w:w="57" w:type="dxa"/>
          <w:right w:w="57" w:type="dxa"/>
        </w:tblCellMar>
        <w:tblLook w:val="04A0" w:firstRow="1" w:lastRow="0" w:firstColumn="1" w:lastColumn="0" w:noHBand="0" w:noVBand="1"/>
      </w:tblPr>
      <w:tblGrid>
        <w:gridCol w:w="2405"/>
        <w:gridCol w:w="6611"/>
      </w:tblGrid>
      <w:tr w:rsidR="001174C9" w:rsidRPr="00E0309E" w:rsidTr="00DF3B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rsidR="001174C9" w:rsidRPr="00EF0D9F" w:rsidRDefault="001174C9" w:rsidP="00DF3BC6">
            <w:pPr>
              <w:pStyle w:val="TABLEAUTETEDECOLONNE"/>
            </w:pPr>
            <w:bookmarkStart w:id="4" w:name="_Hlk491349392"/>
            <w:r w:rsidRPr="001174C9">
              <w:rPr>
                <w:caps/>
              </w:rPr>
              <w:t>De Brouckère</w:t>
            </w:r>
            <w:r>
              <w:t xml:space="preserve"> </w:t>
            </w:r>
            <w:r w:rsidRPr="00EF0D9F">
              <w:t xml:space="preserve">- 50.000 m² - Bruxelles, </w:t>
            </w:r>
            <w:r w:rsidR="00977F55" w:rsidRPr="00977F55">
              <w:t>Belgique (Quote-Part IMMOBEL : 50%)</w:t>
            </w:r>
          </w:p>
        </w:tc>
      </w:tr>
      <w:tr w:rsidR="00977F55" w:rsidRPr="00E0309E" w:rsidTr="00DF3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77F55" w:rsidRPr="00977F55" w:rsidRDefault="00977F55" w:rsidP="00977F55">
            <w:pPr>
              <w:pStyle w:val="TABLEAUCONTENU"/>
            </w:pPr>
            <w:r w:rsidRPr="00E0309E">
              <w:t>Situation au 3</w:t>
            </w:r>
            <w:r w:rsidRPr="00977F55">
              <w:t>0 juin 2017</w:t>
            </w:r>
          </w:p>
        </w:tc>
        <w:tc>
          <w:tcPr>
            <w:tcW w:w="6611"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Programmation en cours</w:t>
            </w:r>
          </w:p>
        </w:tc>
      </w:tr>
      <w:tr w:rsidR="00977F55" w:rsidRPr="00E0309E" w:rsidTr="00DF3BC6">
        <w:tc>
          <w:tcPr>
            <w:cnfStyle w:val="001000000000" w:firstRow="0" w:lastRow="0" w:firstColumn="1" w:lastColumn="0" w:oddVBand="0" w:evenVBand="0" w:oddHBand="0" w:evenHBand="0" w:firstRowFirstColumn="0" w:firstRowLastColumn="0" w:lastRowFirstColumn="0" w:lastRowLastColumn="0"/>
            <w:tcW w:w="2405" w:type="dxa"/>
          </w:tcPr>
          <w:p w:rsidR="00977F55" w:rsidRPr="00E0309E" w:rsidRDefault="00977F55" w:rsidP="00977F55">
            <w:pPr>
              <w:pStyle w:val="TABLEAUCONTENU"/>
            </w:pPr>
            <w:r w:rsidRPr="00E0309E">
              <w:t>Caractéristiques du projet</w:t>
            </w:r>
          </w:p>
        </w:tc>
        <w:tc>
          <w:tcPr>
            <w:tcW w:w="6611"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 xml:space="preserve">Situé en plein centre de Bruxelles à deux pas de la Grand Place, le projet prévoit une démolition-reconstruction (et rénovation des parties classées) du siège de l’assureur Allianz pour laisser place à un ensemble mixte à dominante résidentielle. Des solutions de bureaux ou hôtel </w:t>
            </w:r>
            <w:proofErr w:type="spellStart"/>
            <w:r w:rsidRPr="00977F55">
              <w:t>stand-alone</w:t>
            </w:r>
            <w:proofErr w:type="spellEnd"/>
            <w:r w:rsidRPr="00977F55">
              <w:t xml:space="preserve"> et/ou </w:t>
            </w:r>
            <w:proofErr w:type="spellStart"/>
            <w:r w:rsidRPr="00977F55">
              <w:t>built</w:t>
            </w:r>
            <w:proofErr w:type="spellEnd"/>
            <w:r w:rsidRPr="00977F55">
              <w:t>-to-suit sont encore intégrables dans le programme actuellement à l’étude. Les rez-de-chaussée seront repensés pour animer les rues et la place De Brouckère au moyen de commerces et services.</w:t>
            </w:r>
          </w:p>
        </w:tc>
      </w:tr>
      <w:tr w:rsidR="00977F55" w:rsidRPr="00E0309E" w:rsidTr="00DF3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77F55" w:rsidRPr="00E0309E" w:rsidRDefault="00977F55" w:rsidP="00977F55">
            <w:pPr>
              <w:pStyle w:val="TABLEAUCONTENU"/>
            </w:pPr>
            <w:r w:rsidRPr="00E0309E">
              <w:t>Unités résidentielles</w:t>
            </w:r>
          </w:p>
        </w:tc>
        <w:tc>
          <w:tcPr>
            <w:tcW w:w="6611"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A confirmer</w:t>
            </w:r>
          </w:p>
        </w:tc>
      </w:tr>
      <w:tr w:rsidR="00977F55" w:rsidRPr="00E0309E" w:rsidTr="00DF3BC6">
        <w:tc>
          <w:tcPr>
            <w:cnfStyle w:val="001000000000" w:firstRow="0" w:lastRow="0" w:firstColumn="1" w:lastColumn="0" w:oddVBand="0" w:evenVBand="0" w:oddHBand="0" w:evenHBand="0" w:firstRowFirstColumn="0" w:firstRowLastColumn="0" w:lastRowFirstColumn="0" w:lastRowLastColumn="0"/>
            <w:tcW w:w="2405" w:type="dxa"/>
          </w:tcPr>
          <w:p w:rsidR="00977F55" w:rsidRPr="00E0309E" w:rsidRDefault="00977F55" w:rsidP="00977F55">
            <w:pPr>
              <w:pStyle w:val="TABLEAUCONTENU"/>
            </w:pPr>
            <w:r w:rsidRPr="00E0309E">
              <w:t>Programme</w:t>
            </w:r>
          </w:p>
        </w:tc>
        <w:tc>
          <w:tcPr>
            <w:tcW w:w="6611"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A confirmer</w:t>
            </w:r>
          </w:p>
        </w:tc>
      </w:tr>
      <w:tr w:rsidR="00977F55" w:rsidRPr="00E0309E" w:rsidTr="00DF3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77F55" w:rsidRPr="00E0309E" w:rsidRDefault="00977F55" w:rsidP="00977F55">
            <w:pPr>
              <w:pStyle w:val="TABLEAUCONTENU"/>
            </w:pPr>
            <w:r w:rsidRPr="00E0309E">
              <w:t>Permis obtenus</w:t>
            </w:r>
          </w:p>
        </w:tc>
        <w:tc>
          <w:tcPr>
            <w:tcW w:w="6611"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Permis d’urbanisme : Non - Permis d’environnement : Non</w:t>
            </w:r>
          </w:p>
        </w:tc>
      </w:tr>
      <w:tr w:rsidR="00977F55" w:rsidRPr="00E0309E" w:rsidTr="00DF3BC6">
        <w:tc>
          <w:tcPr>
            <w:cnfStyle w:val="001000000000" w:firstRow="0" w:lastRow="0" w:firstColumn="1" w:lastColumn="0" w:oddVBand="0" w:evenVBand="0" w:oddHBand="0" w:evenHBand="0" w:firstRowFirstColumn="0" w:firstRowLastColumn="0" w:lastRowFirstColumn="0" w:lastRowLastColumn="0"/>
            <w:tcW w:w="2405" w:type="dxa"/>
          </w:tcPr>
          <w:p w:rsidR="00977F55" w:rsidRPr="00E0309E" w:rsidRDefault="00977F55" w:rsidP="00977F55">
            <w:pPr>
              <w:pStyle w:val="TABLEAUCONTENU"/>
            </w:pPr>
            <w:r w:rsidRPr="00E0309E">
              <w:t>Période de construction</w:t>
            </w:r>
          </w:p>
        </w:tc>
        <w:tc>
          <w:tcPr>
            <w:tcW w:w="6611"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Début du désamiantage en 2020, après le déménagement d’Allianz dans son nouveau siège construit par IMMOBEL (Möbius)</w:t>
            </w:r>
          </w:p>
        </w:tc>
      </w:tr>
      <w:bookmarkEnd w:id="4"/>
    </w:tbl>
    <w:p w:rsidR="00977F55" w:rsidRDefault="00977F55" w:rsidP="00E75EF3">
      <w:pPr>
        <w:widowControl w:val="0"/>
        <w:spacing w:after="0"/>
        <w:jc w:val="left"/>
      </w:pPr>
    </w:p>
    <w:tbl>
      <w:tblPr>
        <w:tblStyle w:val="GridTable4-Accent118"/>
        <w:tblW w:w="0" w:type="auto"/>
        <w:tblCellMar>
          <w:top w:w="57" w:type="dxa"/>
          <w:left w:w="57" w:type="dxa"/>
          <w:bottom w:w="57" w:type="dxa"/>
          <w:right w:w="57" w:type="dxa"/>
        </w:tblCellMar>
        <w:tblLook w:val="04A0" w:firstRow="1" w:lastRow="0" w:firstColumn="1" w:lastColumn="0" w:noHBand="0" w:noVBand="1"/>
      </w:tblPr>
      <w:tblGrid>
        <w:gridCol w:w="2405"/>
        <w:gridCol w:w="6611"/>
      </w:tblGrid>
      <w:tr w:rsidR="00977F55" w:rsidRPr="00E0309E" w:rsidTr="00C07E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rsidR="00977F55" w:rsidRPr="00EF0D9F" w:rsidRDefault="00977F55" w:rsidP="00C07EA5">
            <w:pPr>
              <w:pStyle w:val="TABLEAUTETEDECOLONNE"/>
            </w:pPr>
            <w:bookmarkStart w:id="5" w:name="_Hlk491685097"/>
            <w:r w:rsidRPr="00977F55">
              <w:t>CHAMBON – 50.000 m² - Bruxelles, Belgique</w:t>
            </w:r>
          </w:p>
        </w:tc>
      </w:tr>
      <w:tr w:rsidR="00977F55" w:rsidRPr="00E0309E" w:rsidTr="00C07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77F55" w:rsidRPr="00977F55" w:rsidRDefault="00977F55" w:rsidP="00977F55">
            <w:pPr>
              <w:pStyle w:val="TABLEAUCONTENU"/>
            </w:pPr>
            <w:r w:rsidRPr="00E0309E">
              <w:t>Situation au 3</w:t>
            </w:r>
            <w:r w:rsidRPr="00977F55">
              <w:t>0 juin 2017</w:t>
            </w:r>
          </w:p>
        </w:tc>
        <w:tc>
          <w:tcPr>
            <w:tcW w:w="6611"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Projet livré</w:t>
            </w:r>
          </w:p>
        </w:tc>
      </w:tr>
      <w:tr w:rsidR="00977F55" w:rsidRPr="00E0309E" w:rsidTr="00C07EA5">
        <w:tc>
          <w:tcPr>
            <w:cnfStyle w:val="001000000000" w:firstRow="0" w:lastRow="0" w:firstColumn="1" w:lastColumn="0" w:oddVBand="0" w:evenVBand="0" w:oddHBand="0" w:evenHBand="0" w:firstRowFirstColumn="0" w:firstRowLastColumn="0" w:lastRowFirstColumn="0" w:lastRowLastColumn="0"/>
            <w:tcW w:w="2405" w:type="dxa"/>
          </w:tcPr>
          <w:p w:rsidR="00977F55" w:rsidRPr="00E0309E" w:rsidRDefault="00977F55" w:rsidP="00977F55">
            <w:pPr>
              <w:pStyle w:val="TABLEAUCONTENU"/>
            </w:pPr>
            <w:r w:rsidRPr="00E0309E">
              <w:t>Caractéristiques du projet</w:t>
            </w:r>
          </w:p>
        </w:tc>
        <w:tc>
          <w:tcPr>
            <w:tcW w:w="6611"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En plein centre historique de Bruxelles, la réhabilitation d’un bâtiment historique en forme de fer à cheval abrite des appartements et penthouse très haut de gamme, dotés de services résidentiels complets. Le projet comprend également un magnifique jardin signé par l'architecte paysagiste Wirtz, ainsi que deux hôtels.</w:t>
            </w:r>
          </w:p>
        </w:tc>
      </w:tr>
      <w:tr w:rsidR="00977F55" w:rsidRPr="00E0309E" w:rsidTr="00C07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77F55" w:rsidRPr="00E0309E" w:rsidRDefault="00977F55" w:rsidP="00977F55">
            <w:pPr>
              <w:pStyle w:val="TABLEAUCONTENU"/>
            </w:pPr>
            <w:r w:rsidRPr="00E0309E">
              <w:t>Unités résidentielles</w:t>
            </w:r>
          </w:p>
        </w:tc>
        <w:tc>
          <w:tcPr>
            <w:tcW w:w="6611"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 xml:space="preserve">250 appartements &amp; </w:t>
            </w:r>
            <w:proofErr w:type="spellStart"/>
            <w:r w:rsidRPr="00977F55">
              <w:t>penthouses</w:t>
            </w:r>
            <w:proofErr w:type="spellEnd"/>
          </w:p>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134 studios pour étudiants</w:t>
            </w:r>
          </w:p>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2 hôtels</w:t>
            </w:r>
          </w:p>
        </w:tc>
      </w:tr>
      <w:tr w:rsidR="00977F55" w:rsidRPr="00E0309E" w:rsidTr="00C07EA5">
        <w:tc>
          <w:tcPr>
            <w:cnfStyle w:val="001000000000" w:firstRow="0" w:lastRow="0" w:firstColumn="1" w:lastColumn="0" w:oddVBand="0" w:evenVBand="0" w:oddHBand="0" w:evenHBand="0" w:firstRowFirstColumn="0" w:firstRowLastColumn="0" w:lastRowFirstColumn="0" w:lastRowLastColumn="0"/>
            <w:tcW w:w="2405" w:type="dxa"/>
          </w:tcPr>
          <w:p w:rsidR="00977F55" w:rsidRPr="00E0309E" w:rsidRDefault="00977F55" w:rsidP="00977F55">
            <w:pPr>
              <w:pStyle w:val="TABLEAUCONTENU"/>
            </w:pPr>
            <w:r w:rsidRPr="00E0309E">
              <w:t>Programme</w:t>
            </w:r>
          </w:p>
        </w:tc>
        <w:tc>
          <w:tcPr>
            <w:tcW w:w="6611"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20.000 m² d’espace de bureaux et de surface hôtelières</w:t>
            </w:r>
          </w:p>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30.000 m² de surfaces résidentielles et de commerces de détail</w:t>
            </w:r>
          </w:p>
        </w:tc>
      </w:tr>
      <w:tr w:rsidR="00977F55" w:rsidRPr="00E0309E" w:rsidTr="00C07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77F55" w:rsidRPr="00E0309E" w:rsidRDefault="00977F55" w:rsidP="00977F55">
            <w:pPr>
              <w:pStyle w:val="TABLEAUCONTENU"/>
            </w:pPr>
            <w:r w:rsidRPr="00E0309E">
              <w:t>Permis obtenus</w:t>
            </w:r>
          </w:p>
        </w:tc>
        <w:tc>
          <w:tcPr>
            <w:tcW w:w="6611"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Permis d’urbanisme : Oui - Permis d’environnement : Oui</w:t>
            </w:r>
          </w:p>
        </w:tc>
      </w:tr>
      <w:tr w:rsidR="00977F55" w:rsidRPr="00E0309E" w:rsidTr="00C07EA5">
        <w:tc>
          <w:tcPr>
            <w:cnfStyle w:val="001000000000" w:firstRow="0" w:lastRow="0" w:firstColumn="1" w:lastColumn="0" w:oddVBand="0" w:evenVBand="0" w:oddHBand="0" w:evenHBand="0" w:firstRowFirstColumn="0" w:firstRowLastColumn="0" w:lastRowFirstColumn="0" w:lastRowLastColumn="0"/>
            <w:tcW w:w="2405" w:type="dxa"/>
          </w:tcPr>
          <w:p w:rsidR="00977F55" w:rsidRPr="00E0309E" w:rsidRDefault="00977F55" w:rsidP="00977F55">
            <w:pPr>
              <w:pStyle w:val="TABLEAUCONTENU"/>
            </w:pPr>
            <w:r w:rsidRPr="00E0309E">
              <w:t>Période de construction</w:t>
            </w:r>
          </w:p>
        </w:tc>
        <w:tc>
          <w:tcPr>
            <w:tcW w:w="6611"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Q1 2013 / Q4 2016</w:t>
            </w:r>
          </w:p>
        </w:tc>
      </w:tr>
      <w:bookmarkEnd w:id="5"/>
    </w:tbl>
    <w:p w:rsidR="00977F55" w:rsidRDefault="00977F55" w:rsidP="00E95C2B">
      <w:pPr>
        <w:widowControl w:val="0"/>
        <w:spacing w:after="80"/>
        <w:jc w:val="left"/>
      </w:pPr>
    </w:p>
    <w:tbl>
      <w:tblPr>
        <w:tblStyle w:val="GridTable4-Accent16"/>
        <w:tblW w:w="0" w:type="auto"/>
        <w:tblCellMar>
          <w:top w:w="57" w:type="dxa"/>
          <w:left w:w="57" w:type="dxa"/>
          <w:bottom w:w="57" w:type="dxa"/>
          <w:right w:w="57" w:type="dxa"/>
        </w:tblCellMar>
        <w:tblLook w:val="04A0" w:firstRow="1" w:lastRow="0" w:firstColumn="1" w:lastColumn="0" w:noHBand="0" w:noVBand="1"/>
      </w:tblPr>
      <w:tblGrid>
        <w:gridCol w:w="2405"/>
        <w:gridCol w:w="6611"/>
      </w:tblGrid>
      <w:tr w:rsidR="00771FB1" w:rsidRPr="006425F1" w:rsidTr="00C90C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rsidR="00771FB1" w:rsidRPr="00EF0D9F" w:rsidRDefault="00771FB1" w:rsidP="00C90C54">
            <w:pPr>
              <w:pStyle w:val="TABLEAUTETEDECOLONNE"/>
            </w:pPr>
            <w:r>
              <w:t>LEBEAU</w:t>
            </w:r>
            <w:r w:rsidRPr="00EF0D9F">
              <w:t xml:space="preserve"> - 42.</w:t>
            </w:r>
            <w:r>
              <w:t>000</w:t>
            </w:r>
            <w:r w:rsidRPr="00EF0D9F">
              <w:t xml:space="preserve"> m² - Bruxelles, Belgique</w:t>
            </w:r>
          </w:p>
        </w:tc>
      </w:tr>
      <w:tr w:rsidR="00977F55" w:rsidRPr="006425F1" w:rsidTr="00C90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77F55" w:rsidRPr="00977F55" w:rsidRDefault="00977F55" w:rsidP="00977F55">
            <w:pPr>
              <w:pStyle w:val="TABLEAUCONTENU"/>
            </w:pPr>
            <w:r w:rsidRPr="006425F1">
              <w:t>Situation au 3</w:t>
            </w:r>
            <w:r w:rsidRPr="00977F55">
              <w:t>0 juin 2017</w:t>
            </w:r>
          </w:p>
        </w:tc>
        <w:tc>
          <w:tcPr>
            <w:tcW w:w="6611"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Définition définitive du programme</w:t>
            </w:r>
          </w:p>
        </w:tc>
      </w:tr>
      <w:tr w:rsidR="00977F55" w:rsidRPr="006425F1" w:rsidTr="00C90C54">
        <w:tc>
          <w:tcPr>
            <w:cnfStyle w:val="001000000000" w:firstRow="0" w:lastRow="0" w:firstColumn="1" w:lastColumn="0" w:oddVBand="0" w:evenVBand="0" w:oddHBand="0" w:evenHBand="0" w:firstRowFirstColumn="0" w:firstRowLastColumn="0" w:lastRowFirstColumn="0" w:lastRowLastColumn="0"/>
            <w:tcW w:w="2405" w:type="dxa"/>
          </w:tcPr>
          <w:p w:rsidR="00977F55" w:rsidRPr="006425F1" w:rsidRDefault="00977F55" w:rsidP="00977F55">
            <w:pPr>
              <w:pStyle w:val="TABLEAUCONTENU"/>
            </w:pPr>
            <w:r w:rsidRPr="006425F1">
              <w:t>Caractéristiques du projet</w:t>
            </w:r>
          </w:p>
        </w:tc>
        <w:tc>
          <w:tcPr>
            <w:tcW w:w="6611"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Le projet "Lebeau - Sablon" est un complexe unique à usage mixte situé sur la Place du Grand Sablon, l'un des quartiers les plus exclusifs de Bruxelles. Le projet propose des appartements résidentiels et des commerces de détail très haut de gamme. Il offre une proximité immédiate avec les restaurants les plus courus et les boutiques les plus en vue.</w:t>
            </w:r>
          </w:p>
        </w:tc>
      </w:tr>
      <w:tr w:rsidR="00977F55" w:rsidRPr="006425F1" w:rsidTr="00C90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77F55" w:rsidRPr="006425F1" w:rsidRDefault="00977F55" w:rsidP="00977F55">
            <w:pPr>
              <w:pStyle w:val="TABLEAUCONTENU"/>
            </w:pPr>
            <w:r w:rsidRPr="006425F1">
              <w:t>Unités résidentielles</w:t>
            </w:r>
          </w:p>
        </w:tc>
        <w:tc>
          <w:tcPr>
            <w:tcW w:w="6611"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A déterminer</w:t>
            </w:r>
          </w:p>
        </w:tc>
      </w:tr>
      <w:tr w:rsidR="00977F55" w:rsidRPr="006425F1" w:rsidTr="00C90C54">
        <w:tc>
          <w:tcPr>
            <w:cnfStyle w:val="001000000000" w:firstRow="0" w:lastRow="0" w:firstColumn="1" w:lastColumn="0" w:oddVBand="0" w:evenVBand="0" w:oddHBand="0" w:evenHBand="0" w:firstRowFirstColumn="0" w:firstRowLastColumn="0" w:lastRowFirstColumn="0" w:lastRowLastColumn="0"/>
            <w:tcW w:w="2405" w:type="dxa"/>
          </w:tcPr>
          <w:p w:rsidR="00977F55" w:rsidRPr="006425F1" w:rsidRDefault="00977F55" w:rsidP="00977F55">
            <w:pPr>
              <w:pStyle w:val="TABLEAUCONTENU"/>
            </w:pPr>
            <w:r w:rsidRPr="006425F1">
              <w:t>Programme</w:t>
            </w:r>
          </w:p>
        </w:tc>
        <w:tc>
          <w:tcPr>
            <w:tcW w:w="6611"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 xml:space="preserve">36.000 m² d'espaces résidentiels, 4.100 m² de commerces </w:t>
            </w:r>
          </w:p>
        </w:tc>
      </w:tr>
      <w:tr w:rsidR="00977F55" w:rsidRPr="006425F1" w:rsidTr="00C90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77F55" w:rsidRPr="006425F1" w:rsidRDefault="00977F55" w:rsidP="00977F55">
            <w:pPr>
              <w:pStyle w:val="TABLEAUCONTENU"/>
            </w:pPr>
            <w:r w:rsidRPr="006425F1">
              <w:t>Permis obtenus</w:t>
            </w:r>
          </w:p>
        </w:tc>
        <w:tc>
          <w:tcPr>
            <w:tcW w:w="6611"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S.O.</w:t>
            </w:r>
          </w:p>
        </w:tc>
      </w:tr>
      <w:tr w:rsidR="00977F55" w:rsidRPr="006425F1" w:rsidTr="00C90C54">
        <w:tc>
          <w:tcPr>
            <w:cnfStyle w:val="001000000000" w:firstRow="0" w:lastRow="0" w:firstColumn="1" w:lastColumn="0" w:oddVBand="0" w:evenVBand="0" w:oddHBand="0" w:evenHBand="0" w:firstRowFirstColumn="0" w:firstRowLastColumn="0" w:lastRowFirstColumn="0" w:lastRowLastColumn="0"/>
            <w:tcW w:w="2405" w:type="dxa"/>
          </w:tcPr>
          <w:p w:rsidR="00977F55" w:rsidRPr="006425F1" w:rsidRDefault="00977F55" w:rsidP="00977F55">
            <w:pPr>
              <w:pStyle w:val="TABLEAUCONTENU"/>
            </w:pPr>
            <w:r w:rsidRPr="006425F1">
              <w:t>Période de construction</w:t>
            </w:r>
          </w:p>
        </w:tc>
        <w:tc>
          <w:tcPr>
            <w:tcW w:w="6611"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Q1 2020 / Q3 2023</w:t>
            </w:r>
          </w:p>
        </w:tc>
      </w:tr>
    </w:tbl>
    <w:p w:rsidR="00E0309E" w:rsidRDefault="00E0309E" w:rsidP="00E95C2B">
      <w:pPr>
        <w:widowControl w:val="0"/>
      </w:pPr>
    </w:p>
    <w:tbl>
      <w:tblPr>
        <w:tblStyle w:val="GridTable4-Accent17"/>
        <w:tblW w:w="0" w:type="auto"/>
        <w:tblCellMar>
          <w:top w:w="57" w:type="dxa"/>
          <w:left w:w="57" w:type="dxa"/>
          <w:bottom w:w="57" w:type="dxa"/>
          <w:right w:w="57" w:type="dxa"/>
        </w:tblCellMar>
        <w:tblLook w:val="04A0" w:firstRow="1" w:lastRow="0" w:firstColumn="1" w:lastColumn="0" w:noHBand="0" w:noVBand="1"/>
      </w:tblPr>
      <w:tblGrid>
        <w:gridCol w:w="2405"/>
        <w:gridCol w:w="6611"/>
      </w:tblGrid>
      <w:tr w:rsidR="00EF4410" w:rsidRPr="006425F1" w:rsidTr="006425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rsidR="00EF4410" w:rsidRPr="00EF0D9F" w:rsidRDefault="00977F55" w:rsidP="00EF0D9F">
            <w:pPr>
              <w:pStyle w:val="TABLEAUTETEDECOLONNE"/>
            </w:pPr>
            <w:r w:rsidRPr="00977F55">
              <w:t>DOMAINE DES VALLÉES - 37.000 m² - Grez-Doiceau, Belgique (Quote-Part IMMOBEL : 50%)</w:t>
            </w:r>
          </w:p>
        </w:tc>
      </w:tr>
      <w:tr w:rsidR="00977F55" w:rsidRPr="006425F1" w:rsidTr="00642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77F55" w:rsidRPr="00977F55" w:rsidRDefault="00977F55" w:rsidP="00977F55">
            <w:pPr>
              <w:pStyle w:val="TABLEAUCONTENU"/>
            </w:pPr>
            <w:r w:rsidRPr="00977F55">
              <w:t>Situation au 30 juin 2017</w:t>
            </w:r>
          </w:p>
        </w:tc>
        <w:tc>
          <w:tcPr>
            <w:tcW w:w="6611" w:type="dxa"/>
          </w:tcPr>
          <w:p w:rsidR="00977F55" w:rsidRPr="00977F55" w:rsidRDefault="00E52BBE" w:rsidP="00977F55">
            <w:pPr>
              <w:pStyle w:val="TABLEAUCONTENU"/>
              <w:cnfStyle w:val="000000100000" w:firstRow="0" w:lastRow="0" w:firstColumn="0" w:lastColumn="0" w:oddVBand="0" w:evenVBand="0" w:oddHBand="1" w:evenHBand="0" w:firstRowFirstColumn="0" w:firstRowLastColumn="0" w:lastRowFirstColumn="0" w:lastRowLastColumn="0"/>
            </w:pPr>
            <w:r>
              <w:t>80% vendu</w:t>
            </w:r>
            <w:r w:rsidR="00977F55" w:rsidRPr="00977F55">
              <w:t xml:space="preserve"> en phase 1 (169 unités) </w:t>
            </w:r>
          </w:p>
        </w:tc>
      </w:tr>
      <w:tr w:rsidR="00977F55" w:rsidRPr="006425F1" w:rsidTr="006425F1">
        <w:tc>
          <w:tcPr>
            <w:cnfStyle w:val="001000000000" w:firstRow="0" w:lastRow="0" w:firstColumn="1" w:lastColumn="0" w:oddVBand="0" w:evenVBand="0" w:oddHBand="0" w:evenHBand="0" w:firstRowFirstColumn="0" w:firstRowLastColumn="0" w:lastRowFirstColumn="0" w:lastRowLastColumn="0"/>
            <w:tcW w:w="2405" w:type="dxa"/>
          </w:tcPr>
          <w:p w:rsidR="00977F55" w:rsidRPr="00977F55" w:rsidRDefault="00977F55" w:rsidP="00977F55">
            <w:pPr>
              <w:pStyle w:val="TABLEAUCONTENU"/>
            </w:pPr>
            <w:r w:rsidRPr="00977F55">
              <w:t>Caractéristiques du projet</w:t>
            </w:r>
          </w:p>
        </w:tc>
        <w:tc>
          <w:tcPr>
            <w:tcW w:w="6611"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À proximité immédiate d’une gare et à quelques kilomètres de Wavre, ce nouveau quartier convivial comprend plus de 200 logements : 156 maisons unifamiliales (2 à 3 façades), 2 maisons destinées aux logements communautaires et 45 appartements sont disséminés au milieu d’espaces verts.</w:t>
            </w:r>
          </w:p>
        </w:tc>
      </w:tr>
      <w:tr w:rsidR="00977F55" w:rsidRPr="006425F1" w:rsidTr="00642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77F55" w:rsidRPr="00977F55" w:rsidRDefault="00977F55" w:rsidP="00977F55">
            <w:pPr>
              <w:pStyle w:val="TABLEAUCONTENU"/>
            </w:pPr>
            <w:r w:rsidRPr="00977F55">
              <w:t>Unités résidentielles</w:t>
            </w:r>
          </w:p>
        </w:tc>
        <w:tc>
          <w:tcPr>
            <w:tcW w:w="6611"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210</w:t>
            </w:r>
          </w:p>
        </w:tc>
      </w:tr>
      <w:tr w:rsidR="00977F55" w:rsidRPr="006425F1" w:rsidTr="006425F1">
        <w:tc>
          <w:tcPr>
            <w:cnfStyle w:val="001000000000" w:firstRow="0" w:lastRow="0" w:firstColumn="1" w:lastColumn="0" w:oddVBand="0" w:evenVBand="0" w:oddHBand="0" w:evenHBand="0" w:firstRowFirstColumn="0" w:firstRowLastColumn="0" w:lastRowFirstColumn="0" w:lastRowLastColumn="0"/>
            <w:tcW w:w="2405" w:type="dxa"/>
          </w:tcPr>
          <w:p w:rsidR="00977F55" w:rsidRPr="00977F55" w:rsidRDefault="00977F55" w:rsidP="00977F55">
            <w:pPr>
              <w:pStyle w:val="TABLEAUCONTENU"/>
            </w:pPr>
            <w:r w:rsidRPr="00977F55">
              <w:t>Programme</w:t>
            </w:r>
          </w:p>
        </w:tc>
        <w:tc>
          <w:tcPr>
            <w:tcW w:w="6611"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203 unités résidentielles (158 maisons 2 à 3 façades et 45 appartements) et 6 unités commerciales et une crèche, dont 37 unités achetées par la Régie Foncière du Brabant wallon</w:t>
            </w:r>
          </w:p>
        </w:tc>
      </w:tr>
      <w:tr w:rsidR="00977F55" w:rsidRPr="006425F1" w:rsidTr="006425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77F55" w:rsidRPr="00977F55" w:rsidRDefault="00977F55" w:rsidP="00977F55">
            <w:pPr>
              <w:pStyle w:val="TABLEAUCONTENU"/>
            </w:pPr>
            <w:r w:rsidRPr="00977F55">
              <w:t>Permis obtenus</w:t>
            </w:r>
          </w:p>
        </w:tc>
        <w:tc>
          <w:tcPr>
            <w:tcW w:w="6611"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Permis d’urbanisme : Oui - Permis d’environnement : Oui</w:t>
            </w:r>
          </w:p>
        </w:tc>
      </w:tr>
      <w:tr w:rsidR="00977F55" w:rsidRPr="006425F1" w:rsidTr="006425F1">
        <w:tc>
          <w:tcPr>
            <w:cnfStyle w:val="001000000000" w:firstRow="0" w:lastRow="0" w:firstColumn="1" w:lastColumn="0" w:oddVBand="0" w:evenVBand="0" w:oddHBand="0" w:evenHBand="0" w:firstRowFirstColumn="0" w:firstRowLastColumn="0" w:lastRowFirstColumn="0" w:lastRowLastColumn="0"/>
            <w:tcW w:w="2405" w:type="dxa"/>
          </w:tcPr>
          <w:p w:rsidR="00977F55" w:rsidRPr="006425F1" w:rsidRDefault="00977F55" w:rsidP="00977F55">
            <w:pPr>
              <w:pStyle w:val="TABLEAUCONTENU"/>
            </w:pPr>
            <w:r w:rsidRPr="006425F1">
              <w:t>Période de construction</w:t>
            </w:r>
          </w:p>
        </w:tc>
        <w:tc>
          <w:tcPr>
            <w:tcW w:w="6611"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Q4 2015 / Q4 2019</w:t>
            </w:r>
          </w:p>
        </w:tc>
      </w:tr>
    </w:tbl>
    <w:p w:rsidR="00EF4410" w:rsidRDefault="00EF4410" w:rsidP="00E95C2B">
      <w:pPr>
        <w:widowControl w:val="0"/>
        <w:spacing w:after="80"/>
        <w:jc w:val="left"/>
      </w:pPr>
    </w:p>
    <w:p w:rsidR="002426E9" w:rsidRDefault="002426E9" w:rsidP="00E95C2B">
      <w:pPr>
        <w:widowControl w:val="0"/>
        <w:spacing w:after="80"/>
        <w:jc w:val="left"/>
      </w:pPr>
    </w:p>
    <w:tbl>
      <w:tblPr>
        <w:tblStyle w:val="GridTable4-Accent17"/>
        <w:tblW w:w="0" w:type="auto"/>
        <w:tblCellMar>
          <w:top w:w="57" w:type="dxa"/>
          <w:left w:w="57" w:type="dxa"/>
          <w:bottom w:w="57" w:type="dxa"/>
          <w:right w:w="57" w:type="dxa"/>
        </w:tblCellMar>
        <w:tblLook w:val="04A0" w:firstRow="1" w:lastRow="0" w:firstColumn="1" w:lastColumn="0" w:noHBand="0" w:noVBand="1"/>
      </w:tblPr>
      <w:tblGrid>
        <w:gridCol w:w="2405"/>
        <w:gridCol w:w="6611"/>
      </w:tblGrid>
      <w:tr w:rsidR="00ED709C" w:rsidRPr="006425F1" w:rsidTr="00DF3B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rsidR="00ED709C" w:rsidRPr="00EF0D9F" w:rsidRDefault="00977F55" w:rsidP="00DF3BC6">
            <w:pPr>
              <w:pStyle w:val="TABLEAUTETEDECOLONNE"/>
            </w:pPr>
            <w:r w:rsidRPr="00977F55">
              <w:lastRenderedPageBreak/>
              <w:t>LIVINGSTONE - 36.000 m² - Luxembourg-Ville, Grand-Duché du Luxembourg (Quote-Part MMOBEL : 33%)</w:t>
            </w:r>
          </w:p>
        </w:tc>
      </w:tr>
      <w:tr w:rsidR="00977F55" w:rsidRPr="006425F1" w:rsidTr="00DF3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77F55" w:rsidRPr="00977F55" w:rsidRDefault="00977F55" w:rsidP="00977F55">
            <w:pPr>
              <w:pStyle w:val="TABLEAUCONTENU"/>
            </w:pPr>
            <w:r w:rsidRPr="00977F55">
              <w:t>Situation au 30 juin 2017</w:t>
            </w:r>
          </w:p>
        </w:tc>
        <w:tc>
          <w:tcPr>
            <w:tcW w:w="6611"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 xml:space="preserve">Livingstone phase I : Dépôt de la demande d’autorisation de bâtir prévu début </w:t>
            </w:r>
            <w:r w:rsidR="00E97AD3">
              <w:t>j</w:t>
            </w:r>
            <w:r w:rsidRPr="00977F55">
              <w:t>uillet 2017</w:t>
            </w:r>
          </w:p>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Livingstone phase II : Dépôt de la demande d’autorisation de bâtir prévu début septembre 2017</w:t>
            </w:r>
          </w:p>
        </w:tc>
      </w:tr>
      <w:tr w:rsidR="00977F55" w:rsidRPr="006425F1" w:rsidTr="00DF3BC6">
        <w:tc>
          <w:tcPr>
            <w:cnfStyle w:val="001000000000" w:firstRow="0" w:lastRow="0" w:firstColumn="1" w:lastColumn="0" w:oddVBand="0" w:evenVBand="0" w:oddHBand="0" w:evenHBand="0" w:firstRowFirstColumn="0" w:firstRowLastColumn="0" w:lastRowFirstColumn="0" w:lastRowLastColumn="0"/>
            <w:tcW w:w="2405" w:type="dxa"/>
          </w:tcPr>
          <w:p w:rsidR="00977F55" w:rsidRPr="00977F55" w:rsidRDefault="00977F55" w:rsidP="00977F55">
            <w:pPr>
              <w:pStyle w:val="TABLEAUCONTENU"/>
            </w:pPr>
            <w:r w:rsidRPr="00977F55">
              <w:t>Caractéristiques du projet</w:t>
            </w:r>
          </w:p>
        </w:tc>
        <w:tc>
          <w:tcPr>
            <w:tcW w:w="6611"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 xml:space="preserve">En plein cœur d’un quartier dynamique de la capitale et à proximité du Parc de </w:t>
            </w:r>
            <w:proofErr w:type="spellStart"/>
            <w:r w:rsidRPr="00977F55">
              <w:t>Cessange</w:t>
            </w:r>
            <w:proofErr w:type="spellEnd"/>
            <w:r w:rsidRPr="00977F55">
              <w:t xml:space="preserve"> et des connexions autoroutières, Livingstone bénéficie de toutes les commodités en intégrant à son rez-de-chaussée un city </w:t>
            </w:r>
            <w:proofErr w:type="spellStart"/>
            <w:r w:rsidRPr="00977F55">
              <w:t>market</w:t>
            </w:r>
            <w:proofErr w:type="spellEnd"/>
            <w:r w:rsidRPr="00977F55">
              <w:t>. Conçue sous forme de semi ilot, la résidence prévoit pour la quasi-totalité des appartements balcons ou loggias ainsi qu’une cour intérieure arborée.</w:t>
            </w:r>
          </w:p>
        </w:tc>
      </w:tr>
      <w:tr w:rsidR="00977F55" w:rsidRPr="006425F1" w:rsidTr="00DF3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77F55" w:rsidRPr="00977F55" w:rsidRDefault="00977F55" w:rsidP="00977F55">
            <w:pPr>
              <w:pStyle w:val="TABLEAUCONTENU"/>
            </w:pPr>
            <w:r w:rsidRPr="00977F55">
              <w:t>Unités résidentielles</w:t>
            </w:r>
          </w:p>
        </w:tc>
        <w:tc>
          <w:tcPr>
            <w:tcW w:w="6611"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 xml:space="preserve">251 appartements </w:t>
            </w:r>
          </w:p>
        </w:tc>
      </w:tr>
      <w:tr w:rsidR="00977F55" w:rsidRPr="006425F1" w:rsidTr="00DF3BC6">
        <w:tc>
          <w:tcPr>
            <w:cnfStyle w:val="001000000000" w:firstRow="0" w:lastRow="0" w:firstColumn="1" w:lastColumn="0" w:oddVBand="0" w:evenVBand="0" w:oddHBand="0" w:evenHBand="0" w:firstRowFirstColumn="0" w:firstRowLastColumn="0" w:lastRowFirstColumn="0" w:lastRowLastColumn="0"/>
            <w:tcW w:w="2405" w:type="dxa"/>
          </w:tcPr>
          <w:p w:rsidR="00977F55" w:rsidRPr="00977F55" w:rsidRDefault="00977F55" w:rsidP="00977F55">
            <w:pPr>
              <w:pStyle w:val="TABLEAUCONTENU"/>
            </w:pPr>
            <w:r w:rsidRPr="00977F55">
              <w:t>Programme</w:t>
            </w:r>
          </w:p>
        </w:tc>
        <w:tc>
          <w:tcPr>
            <w:tcW w:w="6611"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30.700 m² d'espaces résidentiels. 5.300 m² d'espaces commerciaux.</w:t>
            </w:r>
          </w:p>
        </w:tc>
      </w:tr>
      <w:tr w:rsidR="00977F55" w:rsidRPr="006425F1" w:rsidTr="00E05DCC">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405" w:type="dxa"/>
          </w:tcPr>
          <w:p w:rsidR="00977F55" w:rsidRPr="00977F55" w:rsidRDefault="00977F55" w:rsidP="00977F55">
            <w:pPr>
              <w:pStyle w:val="TABLEAUCONTENU"/>
            </w:pPr>
            <w:r w:rsidRPr="00977F55">
              <w:t>Permis obtenus</w:t>
            </w:r>
          </w:p>
        </w:tc>
        <w:tc>
          <w:tcPr>
            <w:tcW w:w="6611"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PAP (Plan d’aménagement particulier)</w:t>
            </w:r>
          </w:p>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proofErr w:type="spellStart"/>
            <w:r w:rsidRPr="00977F55">
              <w:t>Sloopvergunning</w:t>
            </w:r>
            <w:proofErr w:type="spellEnd"/>
          </w:p>
        </w:tc>
      </w:tr>
      <w:tr w:rsidR="00977F55" w:rsidRPr="00464B04" w:rsidTr="00DF3BC6">
        <w:tc>
          <w:tcPr>
            <w:cnfStyle w:val="001000000000" w:firstRow="0" w:lastRow="0" w:firstColumn="1" w:lastColumn="0" w:oddVBand="0" w:evenVBand="0" w:oddHBand="0" w:evenHBand="0" w:firstRowFirstColumn="0" w:firstRowLastColumn="0" w:lastRowFirstColumn="0" w:lastRowLastColumn="0"/>
            <w:tcW w:w="2405" w:type="dxa"/>
          </w:tcPr>
          <w:p w:rsidR="00977F55" w:rsidRPr="006425F1" w:rsidRDefault="00977F55" w:rsidP="00977F55">
            <w:pPr>
              <w:pStyle w:val="TABLEAUCONTENU"/>
            </w:pPr>
            <w:r w:rsidRPr="006425F1">
              <w:t>Période de construction</w:t>
            </w:r>
          </w:p>
        </w:tc>
        <w:tc>
          <w:tcPr>
            <w:tcW w:w="6611"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rPr>
                <w:lang w:val="en-GB"/>
              </w:rPr>
            </w:pPr>
            <w:r w:rsidRPr="00977F55">
              <w:rPr>
                <w:lang w:val="en-GB"/>
              </w:rPr>
              <w:t>Phase 1: Q3 2017 / Q1 2020</w:t>
            </w:r>
          </w:p>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rPr>
                <w:lang w:val="en-GB"/>
              </w:rPr>
            </w:pPr>
            <w:r w:rsidRPr="00977F55">
              <w:rPr>
                <w:lang w:val="en-GB"/>
              </w:rPr>
              <w:t>Phases 2 and 3: TBD</w:t>
            </w:r>
          </w:p>
        </w:tc>
      </w:tr>
    </w:tbl>
    <w:p w:rsidR="00ED246B" w:rsidRPr="00E05DCC" w:rsidRDefault="00ED246B" w:rsidP="00E95C2B">
      <w:pPr>
        <w:widowControl w:val="0"/>
        <w:spacing w:after="80"/>
        <w:jc w:val="left"/>
        <w:rPr>
          <w:lang w:val="en-GB"/>
        </w:rPr>
      </w:pPr>
    </w:p>
    <w:tbl>
      <w:tblPr>
        <w:tblStyle w:val="GridTable4-Accent18"/>
        <w:tblW w:w="0" w:type="auto"/>
        <w:tblCellMar>
          <w:top w:w="57" w:type="dxa"/>
          <w:left w:w="57" w:type="dxa"/>
          <w:bottom w:w="57" w:type="dxa"/>
          <w:right w:w="57" w:type="dxa"/>
        </w:tblCellMar>
        <w:tblLook w:val="04A0" w:firstRow="1" w:lastRow="0" w:firstColumn="1" w:lastColumn="0" w:noHBand="0" w:noVBand="1"/>
      </w:tblPr>
      <w:tblGrid>
        <w:gridCol w:w="2410"/>
        <w:gridCol w:w="6606"/>
      </w:tblGrid>
      <w:tr w:rsidR="00EF4410" w:rsidRPr="00CC1188" w:rsidTr="00CC11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rsidR="00EF4410" w:rsidRPr="00EF0D9F" w:rsidRDefault="00EF4410" w:rsidP="00EF0D9F">
            <w:pPr>
              <w:pStyle w:val="TABLEAUTETEDECOLONNE"/>
            </w:pPr>
            <w:r w:rsidRPr="00EF0D9F">
              <w:t xml:space="preserve">BELLA VITA - 33.300 m² - Waterloo, Belgique, (Quote-Part </w:t>
            </w:r>
            <w:r w:rsidR="000108EA" w:rsidRPr="00EF0D9F">
              <w:t>IMMOBEL</w:t>
            </w:r>
            <w:r w:rsidRPr="00EF0D9F">
              <w:t> : 50%)</w:t>
            </w:r>
          </w:p>
        </w:tc>
      </w:tr>
      <w:tr w:rsidR="00977F55" w:rsidRPr="00CC1188" w:rsidTr="00CC1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77F55" w:rsidRPr="00977F55" w:rsidRDefault="00977F55" w:rsidP="00977F55">
            <w:pPr>
              <w:pStyle w:val="TABLEAUCONTENU"/>
            </w:pPr>
            <w:r w:rsidRPr="00CC1188">
              <w:t>Situation au 3</w:t>
            </w:r>
            <w:r w:rsidRPr="00977F55">
              <w:t>0 juin 2017</w:t>
            </w:r>
          </w:p>
        </w:tc>
        <w:tc>
          <w:tcPr>
            <w:tcW w:w="6606"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100% vendu (excepté 8 emplacements de parking)</w:t>
            </w:r>
          </w:p>
        </w:tc>
      </w:tr>
      <w:tr w:rsidR="00977F55" w:rsidRPr="00CC1188" w:rsidTr="00CC1188">
        <w:tc>
          <w:tcPr>
            <w:cnfStyle w:val="001000000000" w:firstRow="0" w:lastRow="0" w:firstColumn="1" w:lastColumn="0" w:oddVBand="0" w:evenVBand="0" w:oddHBand="0" w:evenHBand="0" w:firstRowFirstColumn="0" w:firstRowLastColumn="0" w:lastRowFirstColumn="0" w:lastRowLastColumn="0"/>
            <w:tcW w:w="2410" w:type="dxa"/>
          </w:tcPr>
          <w:p w:rsidR="00977F55" w:rsidRPr="00CC1188" w:rsidRDefault="00977F55" w:rsidP="00977F55">
            <w:pPr>
              <w:pStyle w:val="TABLEAUCONTENU"/>
            </w:pPr>
            <w:r w:rsidRPr="00CC1188">
              <w:t>Caractéristiques du projet</w:t>
            </w:r>
          </w:p>
        </w:tc>
        <w:tc>
          <w:tcPr>
            <w:tcW w:w="6606"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 xml:space="preserve">Implanté sur un magnifique site patrimonial marqué par une architecture Arts &amp; </w:t>
            </w:r>
            <w:proofErr w:type="spellStart"/>
            <w:r w:rsidRPr="00977F55">
              <w:t>Crafts</w:t>
            </w:r>
            <w:proofErr w:type="spellEnd"/>
            <w:r w:rsidRPr="00977F55">
              <w:t>, le projet Bella Vita est un tout nouveau quartier conçu pour les familles. Il associe tous les équipements nécessaires (Installations médicales et paramédicales, maison de repos, crèche, piscine...) à des bâtiments adaptés aux différentes générations, avec une accessibilité très poussée pour les plus seniors.</w:t>
            </w:r>
          </w:p>
        </w:tc>
      </w:tr>
      <w:tr w:rsidR="00977F55" w:rsidRPr="00CC1188" w:rsidTr="00CC1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77F55" w:rsidRPr="00CC1188" w:rsidRDefault="00977F55" w:rsidP="00977F55">
            <w:pPr>
              <w:pStyle w:val="TABLEAUCONTENU"/>
            </w:pPr>
            <w:r w:rsidRPr="00CC1188">
              <w:t>Unités résidentielles</w:t>
            </w:r>
          </w:p>
        </w:tc>
        <w:tc>
          <w:tcPr>
            <w:tcW w:w="6606"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269</w:t>
            </w:r>
          </w:p>
        </w:tc>
      </w:tr>
      <w:tr w:rsidR="00977F55" w:rsidRPr="00CC1188" w:rsidTr="00CC1188">
        <w:tc>
          <w:tcPr>
            <w:cnfStyle w:val="001000000000" w:firstRow="0" w:lastRow="0" w:firstColumn="1" w:lastColumn="0" w:oddVBand="0" w:evenVBand="0" w:oddHBand="0" w:evenHBand="0" w:firstRowFirstColumn="0" w:firstRowLastColumn="0" w:lastRowFirstColumn="0" w:lastRowLastColumn="0"/>
            <w:tcW w:w="2410" w:type="dxa"/>
          </w:tcPr>
          <w:p w:rsidR="00977F55" w:rsidRPr="00CC1188" w:rsidRDefault="00977F55" w:rsidP="00977F55">
            <w:pPr>
              <w:pStyle w:val="TABLEAUCONTENU"/>
            </w:pPr>
            <w:r w:rsidRPr="00CC1188">
              <w:t>Programme</w:t>
            </w:r>
          </w:p>
        </w:tc>
        <w:tc>
          <w:tcPr>
            <w:tcW w:w="6606"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182 appartements et 87 maisons, une crèche, une résidences-services, un centre de soins, une piscine, un restaurant, un magasin, une bibliothèque, un gymnase, des bureaux, des salles de réunion.</w:t>
            </w:r>
          </w:p>
        </w:tc>
      </w:tr>
      <w:tr w:rsidR="00977F55" w:rsidRPr="00CC1188" w:rsidTr="00CC1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77F55" w:rsidRPr="00CC1188" w:rsidRDefault="00977F55" w:rsidP="00977F55">
            <w:pPr>
              <w:pStyle w:val="TABLEAUCONTENU"/>
            </w:pPr>
            <w:r w:rsidRPr="00CC1188">
              <w:t>Permis obtenus</w:t>
            </w:r>
          </w:p>
        </w:tc>
        <w:tc>
          <w:tcPr>
            <w:tcW w:w="6606"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Permis d’urbanisme : Oui - Permis d’environnement : Oui</w:t>
            </w:r>
          </w:p>
        </w:tc>
      </w:tr>
      <w:tr w:rsidR="00977F55" w:rsidRPr="00CC1188" w:rsidTr="00CC1188">
        <w:tc>
          <w:tcPr>
            <w:cnfStyle w:val="001000000000" w:firstRow="0" w:lastRow="0" w:firstColumn="1" w:lastColumn="0" w:oddVBand="0" w:evenVBand="0" w:oddHBand="0" w:evenHBand="0" w:firstRowFirstColumn="0" w:firstRowLastColumn="0" w:lastRowFirstColumn="0" w:lastRowLastColumn="0"/>
            <w:tcW w:w="2410" w:type="dxa"/>
          </w:tcPr>
          <w:p w:rsidR="00977F55" w:rsidRPr="00CC1188" w:rsidRDefault="00977F55" w:rsidP="00977F55">
            <w:pPr>
              <w:pStyle w:val="TABLEAUCONTENU"/>
            </w:pPr>
            <w:r w:rsidRPr="00CC1188">
              <w:t>Période de construction</w:t>
            </w:r>
          </w:p>
        </w:tc>
        <w:tc>
          <w:tcPr>
            <w:tcW w:w="6606"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Q2 2013 / Q4 2015</w:t>
            </w:r>
          </w:p>
        </w:tc>
      </w:tr>
    </w:tbl>
    <w:p w:rsidR="00C90C54" w:rsidRDefault="00C90C54" w:rsidP="00E95C2B">
      <w:pPr>
        <w:widowControl w:val="0"/>
        <w:spacing w:after="80"/>
        <w:jc w:val="left"/>
      </w:pPr>
    </w:p>
    <w:p w:rsidR="00C90C54" w:rsidRDefault="00C90C54" w:rsidP="00C90C54">
      <w:r>
        <w:br w:type="page"/>
      </w:r>
    </w:p>
    <w:tbl>
      <w:tblPr>
        <w:tblStyle w:val="GridTable4-Accent19"/>
        <w:tblW w:w="0" w:type="auto"/>
        <w:tblCellMar>
          <w:top w:w="57" w:type="dxa"/>
          <w:left w:w="57" w:type="dxa"/>
          <w:bottom w:w="57" w:type="dxa"/>
          <w:right w:w="57" w:type="dxa"/>
        </w:tblCellMar>
        <w:tblLook w:val="04A0" w:firstRow="1" w:lastRow="0" w:firstColumn="1" w:lastColumn="0" w:noHBand="0" w:noVBand="1"/>
      </w:tblPr>
      <w:tblGrid>
        <w:gridCol w:w="2410"/>
        <w:gridCol w:w="6606"/>
      </w:tblGrid>
      <w:tr w:rsidR="00EF4410" w:rsidRPr="00CC1188" w:rsidTr="00CC11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rsidR="00EF4410" w:rsidRPr="00EF0D9F" w:rsidRDefault="00EF4410" w:rsidP="00EF0D9F">
            <w:pPr>
              <w:pStyle w:val="TABLEAUTETEDECOLONNE"/>
            </w:pPr>
            <w:r w:rsidRPr="00EF0D9F">
              <w:lastRenderedPageBreak/>
              <w:t>INFINITY – 33.300 m² - Luxembourg-Ville, Grand-Duché de Luxembourg</w:t>
            </w:r>
          </w:p>
        </w:tc>
      </w:tr>
      <w:tr w:rsidR="00977F55" w:rsidRPr="00CC1188" w:rsidTr="00CC1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77F55" w:rsidRPr="00977F55" w:rsidRDefault="00977F55" w:rsidP="00977F55">
            <w:pPr>
              <w:pStyle w:val="TABLEAUCONTENU"/>
            </w:pPr>
            <w:r w:rsidRPr="00CC1188">
              <w:t>Situation au 3</w:t>
            </w:r>
            <w:r w:rsidRPr="00977F55">
              <w:t>0 juin 2017</w:t>
            </w:r>
          </w:p>
        </w:tc>
        <w:tc>
          <w:tcPr>
            <w:tcW w:w="6606"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 xml:space="preserve">Terrassement en cours. Début de la construction prévu pour octobre 2017. </w:t>
            </w:r>
          </w:p>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50 % des surfaces résidentielles sont réservées</w:t>
            </w:r>
          </w:p>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100% des surfaces commerciales et de bureaux sont déjà loués</w:t>
            </w:r>
          </w:p>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Signature du bail emphytéotique et lancement des travaux de terrassement le 16.02</w:t>
            </w:r>
          </w:p>
        </w:tc>
      </w:tr>
      <w:tr w:rsidR="00977F55" w:rsidRPr="00CC1188" w:rsidTr="00CC1188">
        <w:tc>
          <w:tcPr>
            <w:cnfStyle w:val="001000000000" w:firstRow="0" w:lastRow="0" w:firstColumn="1" w:lastColumn="0" w:oddVBand="0" w:evenVBand="0" w:oddHBand="0" w:evenHBand="0" w:firstRowFirstColumn="0" w:firstRowLastColumn="0" w:lastRowFirstColumn="0" w:lastRowLastColumn="0"/>
            <w:tcW w:w="2410" w:type="dxa"/>
          </w:tcPr>
          <w:p w:rsidR="00977F55" w:rsidRPr="00CC1188" w:rsidRDefault="00977F55" w:rsidP="00977F55">
            <w:pPr>
              <w:pStyle w:val="TABLEAUCONTENU"/>
            </w:pPr>
            <w:r w:rsidRPr="00CC1188">
              <w:t>Caractéristiques du projet</w:t>
            </w:r>
          </w:p>
        </w:tc>
        <w:tc>
          <w:tcPr>
            <w:tcW w:w="6606"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Situé à l’entrée du Kirchberg, idéalement desservi et à proximité immédiate des institutions européennes, le complexe immobilier INFINITY offre une adresse prestigieuse présentant une visibilité unique au Luxembourg. Dessiné par l’architecte Bernardo Fort-Brescia, le projet INFINITY se définit par deux tours sculpturales reliées entre elles par une galerie commerciale pourvue d’un toit végétal.</w:t>
            </w:r>
          </w:p>
        </w:tc>
      </w:tr>
      <w:tr w:rsidR="00977F55" w:rsidRPr="00CC1188" w:rsidTr="00CC1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77F55" w:rsidRPr="00CC1188" w:rsidRDefault="00977F55" w:rsidP="00977F55">
            <w:pPr>
              <w:pStyle w:val="TABLEAUCONTENU"/>
            </w:pPr>
            <w:r w:rsidRPr="00CC1188">
              <w:t>Unités résidentielles</w:t>
            </w:r>
          </w:p>
        </w:tc>
        <w:tc>
          <w:tcPr>
            <w:tcW w:w="6606"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150 appartements, penthouse et studios</w:t>
            </w:r>
          </w:p>
        </w:tc>
      </w:tr>
      <w:tr w:rsidR="00977F55" w:rsidRPr="00CC1188" w:rsidTr="00CC1188">
        <w:tc>
          <w:tcPr>
            <w:cnfStyle w:val="001000000000" w:firstRow="0" w:lastRow="0" w:firstColumn="1" w:lastColumn="0" w:oddVBand="0" w:evenVBand="0" w:oddHBand="0" w:evenHBand="0" w:firstRowFirstColumn="0" w:firstRowLastColumn="0" w:lastRowFirstColumn="0" w:lastRowLastColumn="0"/>
            <w:tcW w:w="2410" w:type="dxa"/>
          </w:tcPr>
          <w:p w:rsidR="00977F55" w:rsidRPr="00CC1188" w:rsidRDefault="00977F55" w:rsidP="00977F55">
            <w:pPr>
              <w:pStyle w:val="TABLEAUCONTENU"/>
            </w:pPr>
            <w:r w:rsidRPr="00CC1188">
              <w:t>Programme</w:t>
            </w:r>
          </w:p>
        </w:tc>
        <w:tc>
          <w:tcPr>
            <w:tcW w:w="6606"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33.300 m² d'espaces à usage mixte, 150 unités résidentielles, 6.500 m² d'espaces commerciaux (23 boutiques, cafés et restaurants), 6.800 m² d'espaces de bureaux.</w:t>
            </w:r>
          </w:p>
        </w:tc>
      </w:tr>
      <w:tr w:rsidR="00977F55" w:rsidRPr="00CC1188" w:rsidTr="00CC1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77F55" w:rsidRPr="00CC1188" w:rsidRDefault="00977F55" w:rsidP="00977F55">
            <w:pPr>
              <w:pStyle w:val="TABLEAUCONTENU"/>
            </w:pPr>
            <w:r w:rsidRPr="00CC1188">
              <w:t>Permis obtenus</w:t>
            </w:r>
          </w:p>
        </w:tc>
        <w:tc>
          <w:tcPr>
            <w:tcW w:w="6606"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Réception de l’autorisation de bâtir le 24 avril 2017</w:t>
            </w:r>
          </w:p>
        </w:tc>
      </w:tr>
      <w:tr w:rsidR="00977F55" w:rsidRPr="00CC1188" w:rsidTr="00CC1188">
        <w:tc>
          <w:tcPr>
            <w:cnfStyle w:val="001000000000" w:firstRow="0" w:lastRow="0" w:firstColumn="1" w:lastColumn="0" w:oddVBand="0" w:evenVBand="0" w:oddHBand="0" w:evenHBand="0" w:firstRowFirstColumn="0" w:firstRowLastColumn="0" w:lastRowFirstColumn="0" w:lastRowLastColumn="0"/>
            <w:tcW w:w="2410" w:type="dxa"/>
          </w:tcPr>
          <w:p w:rsidR="00977F55" w:rsidRPr="00CC1188" w:rsidRDefault="00977F55" w:rsidP="00977F55">
            <w:pPr>
              <w:pStyle w:val="TABLEAUCONTENU"/>
            </w:pPr>
            <w:r w:rsidRPr="00CC1188">
              <w:t>Période de construction</w:t>
            </w:r>
          </w:p>
        </w:tc>
        <w:tc>
          <w:tcPr>
            <w:tcW w:w="6606"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 xml:space="preserve">Q1 2016 / Q4 2019 </w:t>
            </w:r>
          </w:p>
        </w:tc>
      </w:tr>
    </w:tbl>
    <w:p w:rsidR="00C90C54" w:rsidRDefault="00C90C54" w:rsidP="00E95C2B">
      <w:pPr>
        <w:widowControl w:val="0"/>
        <w:spacing w:after="80"/>
        <w:jc w:val="left"/>
      </w:pPr>
    </w:p>
    <w:tbl>
      <w:tblPr>
        <w:tblStyle w:val="GridTable4-Accent115"/>
        <w:tblW w:w="0" w:type="auto"/>
        <w:tblCellMar>
          <w:top w:w="57" w:type="dxa"/>
          <w:left w:w="57" w:type="dxa"/>
          <w:bottom w:w="57" w:type="dxa"/>
          <w:right w:w="57" w:type="dxa"/>
        </w:tblCellMar>
        <w:tblLook w:val="04A0" w:firstRow="1" w:lastRow="0" w:firstColumn="1" w:lastColumn="0" w:noHBand="0" w:noVBand="1"/>
      </w:tblPr>
      <w:tblGrid>
        <w:gridCol w:w="2410"/>
        <w:gridCol w:w="6606"/>
      </w:tblGrid>
      <w:tr w:rsidR="00A8403A" w:rsidRPr="007A3F27" w:rsidTr="00A840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rsidR="00A8403A" w:rsidRPr="00EF0D9F" w:rsidRDefault="00A8403A" w:rsidP="00EF0D9F">
            <w:pPr>
              <w:pStyle w:val="TABLEAUTETEDECOLONNE"/>
            </w:pPr>
            <w:bookmarkStart w:id="6" w:name="_Hlk486853690"/>
            <w:r w:rsidRPr="00EF0D9F">
              <w:t>P</w:t>
            </w:r>
            <w:r w:rsidR="00197CD3">
              <w:t>OLVERMILLEN</w:t>
            </w:r>
            <w:r w:rsidRPr="00EF0D9F">
              <w:t xml:space="preserve"> – 26.600 m² - Luxembourg-Ville, Grand-Duché de Luxembourg</w:t>
            </w:r>
          </w:p>
        </w:tc>
      </w:tr>
      <w:tr w:rsidR="00977F55" w:rsidRPr="007A3F27" w:rsidTr="00A84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77F55" w:rsidRPr="00977F55" w:rsidRDefault="00977F55" w:rsidP="00977F55">
            <w:pPr>
              <w:pStyle w:val="TABLEAUCONTENU"/>
            </w:pPr>
            <w:r w:rsidRPr="007A3F27">
              <w:t>Situation au 3</w:t>
            </w:r>
            <w:r w:rsidRPr="00977F55">
              <w:t>0 juin 2017</w:t>
            </w:r>
          </w:p>
        </w:tc>
        <w:tc>
          <w:tcPr>
            <w:tcW w:w="6606"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 xml:space="preserve">Signature du contrat de financement entrainant la maitrise totale du foncier de </w:t>
            </w:r>
            <w:proofErr w:type="spellStart"/>
            <w:r w:rsidRPr="00977F55">
              <w:t>Polvermillen</w:t>
            </w:r>
            <w:proofErr w:type="spellEnd"/>
            <w:r w:rsidRPr="00977F55">
              <w:t xml:space="preserve"> le 10 mars 2017 </w:t>
            </w:r>
          </w:p>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Dépôt de la demande d’autorisation de bâtir prévue pour fin 2017</w:t>
            </w:r>
          </w:p>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Lancement de la commercialisation prévu au premier semestre 2018</w:t>
            </w:r>
          </w:p>
        </w:tc>
      </w:tr>
      <w:tr w:rsidR="00977F55" w:rsidRPr="007A3F27" w:rsidTr="00A8403A">
        <w:tc>
          <w:tcPr>
            <w:cnfStyle w:val="001000000000" w:firstRow="0" w:lastRow="0" w:firstColumn="1" w:lastColumn="0" w:oddVBand="0" w:evenVBand="0" w:oddHBand="0" w:evenHBand="0" w:firstRowFirstColumn="0" w:firstRowLastColumn="0" w:lastRowFirstColumn="0" w:lastRowLastColumn="0"/>
            <w:tcW w:w="2410" w:type="dxa"/>
          </w:tcPr>
          <w:p w:rsidR="00977F55" w:rsidRPr="007A3F27" w:rsidRDefault="00977F55" w:rsidP="00977F55">
            <w:pPr>
              <w:pStyle w:val="TABLEAUCONTENU"/>
            </w:pPr>
            <w:r w:rsidRPr="007A3F27">
              <w:t>Caractéristiques du projet</w:t>
            </w:r>
          </w:p>
        </w:tc>
        <w:tc>
          <w:tcPr>
            <w:tcW w:w="6606"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Ce complexe sur les berges de l’Alzette propose un cadre de travail tout à fait nouveau entre ville et nature. Situé à proximité immédiate du centre et du plateau du Kirchberg, il offre un programme mixte très complet : bureaux mais également maisons, lofts, appartements, studios... Imaginé selon une approche durable, il a pour vocation à réhabiliter et redessiner un tout nouveau quartier dans un cadre particulièrement vert, respectueux de l’âme et de l’histoire du site.</w:t>
            </w:r>
          </w:p>
        </w:tc>
      </w:tr>
      <w:tr w:rsidR="00977F55" w:rsidRPr="007A3F27" w:rsidTr="00A84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77F55" w:rsidRPr="007A3F27" w:rsidRDefault="00977F55" w:rsidP="00977F55">
            <w:pPr>
              <w:pStyle w:val="TABLEAUCONTENU"/>
            </w:pPr>
            <w:r w:rsidRPr="007A3F27">
              <w:t>Unités résidentielles</w:t>
            </w:r>
          </w:p>
        </w:tc>
        <w:tc>
          <w:tcPr>
            <w:tcW w:w="6606"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210 appartements &amp; maisons</w:t>
            </w:r>
          </w:p>
        </w:tc>
      </w:tr>
      <w:tr w:rsidR="00977F55" w:rsidRPr="007A3F27" w:rsidTr="00A8403A">
        <w:tc>
          <w:tcPr>
            <w:cnfStyle w:val="001000000000" w:firstRow="0" w:lastRow="0" w:firstColumn="1" w:lastColumn="0" w:oddVBand="0" w:evenVBand="0" w:oddHBand="0" w:evenHBand="0" w:firstRowFirstColumn="0" w:firstRowLastColumn="0" w:lastRowFirstColumn="0" w:lastRowLastColumn="0"/>
            <w:tcW w:w="2410" w:type="dxa"/>
          </w:tcPr>
          <w:p w:rsidR="00977F55" w:rsidRPr="007A3F27" w:rsidRDefault="00977F55" w:rsidP="00977F55">
            <w:pPr>
              <w:pStyle w:val="TABLEAUCONTENU"/>
            </w:pPr>
            <w:r w:rsidRPr="007A3F27">
              <w:t>Programme</w:t>
            </w:r>
          </w:p>
        </w:tc>
        <w:tc>
          <w:tcPr>
            <w:tcW w:w="6606"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25.000 m² d'espaces résidentiels (1 maison de maître, 17 maisons, 10 loft</w:t>
            </w:r>
            <w:r w:rsidR="00760895">
              <w:t>s, 181 appartements et studios),</w:t>
            </w:r>
            <w:r w:rsidRPr="00977F55">
              <w:t xml:space="preserve"> 1.600 m² d'espaces de bureaux</w:t>
            </w:r>
          </w:p>
        </w:tc>
      </w:tr>
      <w:tr w:rsidR="00977F55" w:rsidRPr="007A3F27" w:rsidTr="00A84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77F55" w:rsidRPr="007A3F27" w:rsidRDefault="00977F55" w:rsidP="00977F55">
            <w:pPr>
              <w:pStyle w:val="TABLEAUCONTENU"/>
            </w:pPr>
            <w:r w:rsidRPr="007A3F27">
              <w:t>Permis obtenus</w:t>
            </w:r>
          </w:p>
        </w:tc>
        <w:tc>
          <w:tcPr>
            <w:tcW w:w="6606"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 xml:space="preserve">PAG (Plan d’Aménagement Général) et PAP (Plan d’Aménagement Particulier)  </w:t>
            </w:r>
          </w:p>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 xml:space="preserve">Arrêtés ministériels de démolition et d’assainissement  </w:t>
            </w:r>
          </w:p>
        </w:tc>
      </w:tr>
      <w:tr w:rsidR="00977F55" w:rsidRPr="007A3F27" w:rsidTr="00A8403A">
        <w:tc>
          <w:tcPr>
            <w:cnfStyle w:val="001000000000" w:firstRow="0" w:lastRow="0" w:firstColumn="1" w:lastColumn="0" w:oddVBand="0" w:evenVBand="0" w:oddHBand="0" w:evenHBand="0" w:firstRowFirstColumn="0" w:firstRowLastColumn="0" w:lastRowFirstColumn="0" w:lastRowLastColumn="0"/>
            <w:tcW w:w="2410" w:type="dxa"/>
          </w:tcPr>
          <w:p w:rsidR="00977F55" w:rsidRPr="007A3F27" w:rsidRDefault="00977F55" w:rsidP="00977F55">
            <w:pPr>
              <w:pStyle w:val="TABLEAUCONTENU"/>
            </w:pPr>
            <w:r w:rsidRPr="007A3F27">
              <w:t>Période de construction</w:t>
            </w:r>
          </w:p>
        </w:tc>
        <w:tc>
          <w:tcPr>
            <w:tcW w:w="6606"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Q1 2018 / Q4 2020</w:t>
            </w:r>
          </w:p>
        </w:tc>
      </w:tr>
      <w:bookmarkEnd w:id="6"/>
    </w:tbl>
    <w:p w:rsidR="002426E9" w:rsidRDefault="002426E9" w:rsidP="00E95C2B">
      <w:pPr>
        <w:widowControl w:val="0"/>
      </w:pPr>
    </w:p>
    <w:p w:rsidR="002426E9" w:rsidRDefault="002426E9" w:rsidP="002426E9">
      <w:r>
        <w:br w:type="page"/>
      </w:r>
    </w:p>
    <w:tbl>
      <w:tblPr>
        <w:tblStyle w:val="GridTable4-Accent115"/>
        <w:tblW w:w="0" w:type="auto"/>
        <w:tblCellMar>
          <w:top w:w="57" w:type="dxa"/>
          <w:left w:w="57" w:type="dxa"/>
          <w:bottom w:w="57" w:type="dxa"/>
          <w:right w:w="57" w:type="dxa"/>
        </w:tblCellMar>
        <w:tblLook w:val="04A0" w:firstRow="1" w:lastRow="0" w:firstColumn="1" w:lastColumn="0" w:noHBand="0" w:noVBand="1"/>
      </w:tblPr>
      <w:tblGrid>
        <w:gridCol w:w="2410"/>
        <w:gridCol w:w="6606"/>
      </w:tblGrid>
      <w:tr w:rsidR="00CE626C" w:rsidRPr="007A3F27" w:rsidTr="000226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rsidR="00CE626C" w:rsidRPr="00EF0D9F" w:rsidRDefault="00CE626C" w:rsidP="00022677">
            <w:pPr>
              <w:pStyle w:val="TABLEAUTETEDECOLONNE"/>
            </w:pPr>
            <w:r w:rsidRPr="00CE626C">
              <w:rPr>
                <w:caps/>
              </w:rPr>
              <w:lastRenderedPageBreak/>
              <w:t>Îlot-saint-roch</w:t>
            </w:r>
            <w:r>
              <w:t xml:space="preserve"> </w:t>
            </w:r>
            <w:r w:rsidRPr="00EF0D9F">
              <w:t>– 2</w:t>
            </w:r>
            <w:r>
              <w:t>4.400</w:t>
            </w:r>
            <w:r w:rsidRPr="00EF0D9F">
              <w:t xml:space="preserve"> m² - </w:t>
            </w:r>
            <w:r>
              <w:t>Nivelles, Belgique</w:t>
            </w:r>
          </w:p>
        </w:tc>
      </w:tr>
      <w:tr w:rsidR="00977F55" w:rsidRPr="007A3F27" w:rsidTr="00022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77F55" w:rsidRPr="00977F55" w:rsidRDefault="00977F55" w:rsidP="00977F55">
            <w:pPr>
              <w:pStyle w:val="TABLEAUCONTENU"/>
            </w:pPr>
            <w:r w:rsidRPr="007A3F27">
              <w:t xml:space="preserve">Situation au </w:t>
            </w:r>
            <w:r w:rsidRPr="00977F55">
              <w:t>30 juin 2017</w:t>
            </w:r>
          </w:p>
        </w:tc>
        <w:tc>
          <w:tcPr>
            <w:tcW w:w="6606"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S.O.</w:t>
            </w:r>
          </w:p>
        </w:tc>
      </w:tr>
      <w:tr w:rsidR="00977F55" w:rsidRPr="007A3F27" w:rsidTr="00022677">
        <w:tc>
          <w:tcPr>
            <w:cnfStyle w:val="001000000000" w:firstRow="0" w:lastRow="0" w:firstColumn="1" w:lastColumn="0" w:oddVBand="0" w:evenVBand="0" w:oddHBand="0" w:evenHBand="0" w:firstRowFirstColumn="0" w:firstRowLastColumn="0" w:lastRowFirstColumn="0" w:lastRowLastColumn="0"/>
            <w:tcW w:w="2410" w:type="dxa"/>
          </w:tcPr>
          <w:p w:rsidR="00977F55" w:rsidRPr="007A3F27" w:rsidRDefault="00977F55" w:rsidP="00977F55">
            <w:pPr>
              <w:pStyle w:val="TABLEAUCONTENU"/>
            </w:pPr>
            <w:r w:rsidRPr="007A3F27">
              <w:t>Caractéristiques du projet</w:t>
            </w:r>
          </w:p>
        </w:tc>
        <w:tc>
          <w:tcPr>
            <w:tcW w:w="6606"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 xml:space="preserve">Au cœur de la ville de Nivelles, proche de la gare et à deux pas de la Collégiale, le projet prévoit la reconversion d’une friche industrielle en un quartier durable et éco-responsable. Ce nouveau concept comprendra des logements, des commerces et services, s’inscrit dans une vision communautaire dans un environnement vert, pourvu d’espaces communs conviviaux (potagers urbains, aires de jeux, </w:t>
            </w:r>
            <w:proofErr w:type="spellStart"/>
            <w:r w:rsidRPr="00977F55">
              <w:t>co-working</w:t>
            </w:r>
            <w:proofErr w:type="spellEnd"/>
            <w:r w:rsidRPr="00977F55">
              <w:t>, roof tops, etc.).</w:t>
            </w:r>
          </w:p>
        </w:tc>
      </w:tr>
      <w:tr w:rsidR="00977F55" w:rsidRPr="007A3F27" w:rsidTr="00022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77F55" w:rsidRPr="007A3F27" w:rsidRDefault="00977F55" w:rsidP="00977F55">
            <w:pPr>
              <w:pStyle w:val="TABLEAUCONTENU"/>
            </w:pPr>
            <w:r w:rsidRPr="007A3F27">
              <w:t>Unités résidentielles</w:t>
            </w:r>
          </w:p>
        </w:tc>
        <w:tc>
          <w:tcPr>
            <w:tcW w:w="6606"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 xml:space="preserve">200 </w:t>
            </w:r>
          </w:p>
        </w:tc>
      </w:tr>
      <w:tr w:rsidR="00977F55" w:rsidRPr="007A3F27" w:rsidTr="00022677">
        <w:tc>
          <w:tcPr>
            <w:cnfStyle w:val="001000000000" w:firstRow="0" w:lastRow="0" w:firstColumn="1" w:lastColumn="0" w:oddVBand="0" w:evenVBand="0" w:oddHBand="0" w:evenHBand="0" w:firstRowFirstColumn="0" w:firstRowLastColumn="0" w:lastRowFirstColumn="0" w:lastRowLastColumn="0"/>
            <w:tcW w:w="2410" w:type="dxa"/>
          </w:tcPr>
          <w:p w:rsidR="00977F55" w:rsidRPr="007A3F27" w:rsidRDefault="00977F55" w:rsidP="00977F55">
            <w:pPr>
              <w:pStyle w:val="TABLEAUCONTENU"/>
            </w:pPr>
            <w:r w:rsidRPr="007A3F27">
              <w:t>Programme</w:t>
            </w:r>
          </w:p>
        </w:tc>
        <w:tc>
          <w:tcPr>
            <w:tcW w:w="6606"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14 immeubles résidentiels comprenant 211 logements, 10 maisons unifamiliales, 1 résidences-services de 50 unités, du commerce et de nombreux espaces communs</w:t>
            </w:r>
          </w:p>
        </w:tc>
      </w:tr>
      <w:tr w:rsidR="00977F55" w:rsidRPr="007A3F27" w:rsidTr="00022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77F55" w:rsidRPr="007A3F27" w:rsidRDefault="00977F55" w:rsidP="00977F55">
            <w:pPr>
              <w:pStyle w:val="TABLEAUCONTENU"/>
            </w:pPr>
            <w:r w:rsidRPr="007A3F27">
              <w:t>Permis obtenus</w:t>
            </w:r>
          </w:p>
        </w:tc>
        <w:tc>
          <w:tcPr>
            <w:tcW w:w="6606"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Permis d’urbanisme : Non - Permis d’environnement : Non</w:t>
            </w:r>
          </w:p>
        </w:tc>
      </w:tr>
      <w:tr w:rsidR="00977F55" w:rsidRPr="007A3F27" w:rsidTr="00022677">
        <w:tc>
          <w:tcPr>
            <w:cnfStyle w:val="001000000000" w:firstRow="0" w:lastRow="0" w:firstColumn="1" w:lastColumn="0" w:oddVBand="0" w:evenVBand="0" w:oddHBand="0" w:evenHBand="0" w:firstRowFirstColumn="0" w:firstRowLastColumn="0" w:lastRowFirstColumn="0" w:lastRowLastColumn="0"/>
            <w:tcW w:w="2410" w:type="dxa"/>
          </w:tcPr>
          <w:p w:rsidR="00977F55" w:rsidRPr="007A3F27" w:rsidRDefault="00977F55" w:rsidP="00977F55">
            <w:pPr>
              <w:pStyle w:val="TABLEAUCONTENU"/>
            </w:pPr>
            <w:r w:rsidRPr="007A3F27">
              <w:t>Période de construction</w:t>
            </w:r>
          </w:p>
        </w:tc>
        <w:tc>
          <w:tcPr>
            <w:tcW w:w="6606"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S.O.</w:t>
            </w:r>
          </w:p>
        </w:tc>
      </w:tr>
    </w:tbl>
    <w:p w:rsidR="00CE626C" w:rsidRDefault="00CE626C" w:rsidP="00E95C2B">
      <w:pPr>
        <w:widowControl w:val="0"/>
      </w:pPr>
    </w:p>
    <w:tbl>
      <w:tblPr>
        <w:tblStyle w:val="GridTable4-Accent116"/>
        <w:tblW w:w="0" w:type="auto"/>
        <w:tblCellMar>
          <w:top w:w="57" w:type="dxa"/>
          <w:left w:w="57" w:type="dxa"/>
          <w:bottom w:w="57" w:type="dxa"/>
          <w:right w:w="57" w:type="dxa"/>
        </w:tblCellMar>
        <w:tblLook w:val="04A0" w:firstRow="1" w:lastRow="0" w:firstColumn="1" w:lastColumn="0" w:noHBand="0" w:noVBand="1"/>
      </w:tblPr>
      <w:tblGrid>
        <w:gridCol w:w="2405"/>
        <w:gridCol w:w="6611"/>
      </w:tblGrid>
      <w:tr w:rsidR="007A3F27" w:rsidRPr="007A3F27" w:rsidTr="007A3F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rsidR="007A3F27" w:rsidRPr="00EF0D9F" w:rsidRDefault="007A3F27" w:rsidP="00EF0D9F">
            <w:pPr>
              <w:pStyle w:val="TABLEAUTETEDECOLONNE"/>
            </w:pPr>
            <w:r w:rsidRPr="00EF0D9F">
              <w:t>CEDET - 22.</w:t>
            </w:r>
            <w:r w:rsidR="00052CEC">
              <w:t>3</w:t>
            </w:r>
            <w:r w:rsidRPr="00EF0D9F">
              <w:t>00 m² - Varsovie, Pologne</w:t>
            </w:r>
          </w:p>
        </w:tc>
      </w:tr>
      <w:tr w:rsidR="00977F55" w:rsidRPr="00977F55" w:rsidTr="007A3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77F55" w:rsidRPr="00977F55" w:rsidRDefault="00977F55" w:rsidP="00977F55">
            <w:pPr>
              <w:pStyle w:val="TABLEAUCONTENU"/>
            </w:pPr>
            <w:r w:rsidRPr="007A3F27">
              <w:t>Situation au 3</w:t>
            </w:r>
            <w:r w:rsidRPr="00977F55">
              <w:t>0 juin 2017</w:t>
            </w:r>
          </w:p>
        </w:tc>
        <w:tc>
          <w:tcPr>
            <w:tcW w:w="6611"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En construction et processus marketing en cours</w:t>
            </w:r>
          </w:p>
        </w:tc>
      </w:tr>
      <w:tr w:rsidR="00977F55" w:rsidRPr="00977F55" w:rsidTr="007A3F27">
        <w:tc>
          <w:tcPr>
            <w:cnfStyle w:val="001000000000" w:firstRow="0" w:lastRow="0" w:firstColumn="1" w:lastColumn="0" w:oddVBand="0" w:evenVBand="0" w:oddHBand="0" w:evenHBand="0" w:firstRowFirstColumn="0" w:firstRowLastColumn="0" w:lastRowFirstColumn="0" w:lastRowLastColumn="0"/>
            <w:tcW w:w="2405" w:type="dxa"/>
          </w:tcPr>
          <w:p w:rsidR="00977F55" w:rsidRPr="007A3F27" w:rsidRDefault="00977F55" w:rsidP="00977F55">
            <w:pPr>
              <w:pStyle w:val="TABLEAUCONTENU"/>
            </w:pPr>
            <w:r w:rsidRPr="007A3F27">
              <w:t>Caractéristiques du projet</w:t>
            </w:r>
          </w:p>
        </w:tc>
        <w:tc>
          <w:tcPr>
            <w:tcW w:w="6611"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 xml:space="preserve">Le </w:t>
            </w:r>
            <w:proofErr w:type="spellStart"/>
            <w:r w:rsidRPr="00977F55">
              <w:t>Cedet</w:t>
            </w:r>
            <w:proofErr w:type="spellEnd"/>
            <w:r w:rsidRPr="00977F55">
              <w:t xml:space="preserve"> est un projet unique de restauration et d’expansion d’un bâtiment historique situé au 50 </w:t>
            </w:r>
            <w:proofErr w:type="spellStart"/>
            <w:r w:rsidRPr="00977F55">
              <w:t>Krucza</w:t>
            </w:r>
            <w:proofErr w:type="spellEnd"/>
            <w:r w:rsidRPr="00977F55">
              <w:t xml:space="preserve"> Street – une perle de l’architecture polonaise moderniste d’après-guerre. Le bâtiment </w:t>
            </w:r>
            <w:proofErr w:type="spellStart"/>
            <w:r w:rsidRPr="00977F55">
              <w:t>Cedet</w:t>
            </w:r>
            <w:proofErr w:type="spellEnd"/>
            <w:r w:rsidRPr="00977F55">
              <w:t xml:space="preserve">, qui combine des espaces commerciaux et des bureaux très haut de gamme, se composera de deux parties : un centre commercial soigneusement redynamisé et un bâtiment neuf situé au croisement des rues </w:t>
            </w:r>
            <w:proofErr w:type="spellStart"/>
            <w:r w:rsidRPr="00977F55">
              <w:t>Bracka</w:t>
            </w:r>
            <w:proofErr w:type="spellEnd"/>
            <w:r w:rsidRPr="00977F55">
              <w:t xml:space="preserve"> et </w:t>
            </w:r>
            <w:proofErr w:type="spellStart"/>
            <w:r w:rsidRPr="00977F55">
              <w:t>Krucza</w:t>
            </w:r>
            <w:proofErr w:type="spellEnd"/>
            <w:r w:rsidRPr="00977F55">
              <w:t xml:space="preserve">. </w:t>
            </w:r>
          </w:p>
        </w:tc>
      </w:tr>
      <w:tr w:rsidR="00977F55" w:rsidRPr="00977F55" w:rsidTr="007A3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77F55" w:rsidRPr="007A3F27" w:rsidRDefault="00977F55" w:rsidP="00977F55">
            <w:pPr>
              <w:pStyle w:val="TABLEAUCONTENU"/>
            </w:pPr>
            <w:r w:rsidRPr="007A3F27">
              <w:t>Programme</w:t>
            </w:r>
          </w:p>
        </w:tc>
        <w:tc>
          <w:tcPr>
            <w:tcW w:w="6611"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Immeuble de bureaux et espaces commerciaux</w:t>
            </w:r>
          </w:p>
        </w:tc>
      </w:tr>
      <w:tr w:rsidR="00977F55" w:rsidRPr="00A32B97" w:rsidTr="007A3F27">
        <w:tc>
          <w:tcPr>
            <w:cnfStyle w:val="001000000000" w:firstRow="0" w:lastRow="0" w:firstColumn="1" w:lastColumn="0" w:oddVBand="0" w:evenVBand="0" w:oddHBand="0" w:evenHBand="0" w:firstRowFirstColumn="0" w:firstRowLastColumn="0" w:lastRowFirstColumn="0" w:lastRowLastColumn="0"/>
            <w:tcW w:w="2405" w:type="dxa"/>
          </w:tcPr>
          <w:p w:rsidR="00977F55" w:rsidRPr="007A3F27" w:rsidRDefault="00977F55" w:rsidP="00977F55">
            <w:pPr>
              <w:pStyle w:val="TABLEAUCONTENU"/>
            </w:pPr>
            <w:r w:rsidRPr="007A3F27">
              <w:t>Permis obtenus</w:t>
            </w:r>
          </w:p>
        </w:tc>
        <w:tc>
          <w:tcPr>
            <w:tcW w:w="6611"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Permis d’urbanisme : Oui</w:t>
            </w:r>
          </w:p>
        </w:tc>
      </w:tr>
      <w:tr w:rsidR="00977F55" w:rsidRPr="007A3F27" w:rsidTr="007A3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77F55" w:rsidRPr="007A3F27" w:rsidRDefault="00977F55" w:rsidP="00977F55">
            <w:pPr>
              <w:pStyle w:val="TABLEAUCONTENU"/>
            </w:pPr>
            <w:r w:rsidRPr="007A3F27">
              <w:t>Période de construction</w:t>
            </w:r>
          </w:p>
        </w:tc>
        <w:tc>
          <w:tcPr>
            <w:tcW w:w="6611"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Q1 2015 / Q2 2018</w:t>
            </w:r>
          </w:p>
        </w:tc>
      </w:tr>
    </w:tbl>
    <w:p w:rsidR="007A3F27" w:rsidRDefault="007A3F27" w:rsidP="00E95C2B">
      <w:pPr>
        <w:widowControl w:val="0"/>
      </w:pPr>
    </w:p>
    <w:tbl>
      <w:tblPr>
        <w:tblStyle w:val="GridTable4-Accent119"/>
        <w:tblW w:w="0" w:type="auto"/>
        <w:tblCellMar>
          <w:top w:w="57" w:type="dxa"/>
          <w:left w:w="57" w:type="dxa"/>
          <w:bottom w:w="57" w:type="dxa"/>
          <w:right w:w="57" w:type="dxa"/>
        </w:tblCellMar>
        <w:tblLook w:val="04A0" w:firstRow="1" w:lastRow="0" w:firstColumn="1" w:lastColumn="0" w:noHBand="0" w:noVBand="1"/>
      </w:tblPr>
      <w:tblGrid>
        <w:gridCol w:w="2405"/>
        <w:gridCol w:w="6611"/>
      </w:tblGrid>
      <w:tr w:rsidR="00076F3C" w:rsidRPr="00E0309E" w:rsidTr="00DF3B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rsidR="00076F3C" w:rsidRPr="00EF0D9F" w:rsidRDefault="00076F3C" w:rsidP="00DF3BC6">
            <w:pPr>
              <w:pStyle w:val="TABLEAUTETEDECOLONNE"/>
            </w:pPr>
            <w:r>
              <w:t>GALERIE KONS - 22.800</w:t>
            </w:r>
            <w:r w:rsidRPr="00EF0D9F">
              <w:t xml:space="preserve"> m² - </w:t>
            </w:r>
            <w:r>
              <w:t>Luxembourg-Ville, Grand-Duché du Luxembourg</w:t>
            </w:r>
          </w:p>
        </w:tc>
      </w:tr>
      <w:tr w:rsidR="00977F55" w:rsidRPr="00E0309E" w:rsidTr="00DF3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77F55" w:rsidRPr="00977F55" w:rsidRDefault="00977F55" w:rsidP="00977F55">
            <w:pPr>
              <w:pStyle w:val="TABLEAUCONTENU"/>
            </w:pPr>
            <w:r w:rsidRPr="00E0309E">
              <w:t>Situation au 3</w:t>
            </w:r>
            <w:r w:rsidRPr="00977F55">
              <w:t>0 juin 2017</w:t>
            </w:r>
          </w:p>
        </w:tc>
        <w:tc>
          <w:tcPr>
            <w:tcW w:w="6611"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 xml:space="preserve">Cession des actions de la société PEF KONS </w:t>
            </w:r>
            <w:proofErr w:type="spellStart"/>
            <w:r w:rsidRPr="00977F55">
              <w:t>investment</w:t>
            </w:r>
            <w:proofErr w:type="spellEnd"/>
            <w:r w:rsidRPr="00977F55">
              <w:t xml:space="preserve"> SA à AXA le 28 mars 2017</w:t>
            </w:r>
          </w:p>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 xml:space="preserve">Réception du prix « </w:t>
            </w:r>
            <w:proofErr w:type="spellStart"/>
            <w:r w:rsidRPr="00977F55">
              <w:t>Ingenieurpreis</w:t>
            </w:r>
            <w:proofErr w:type="spellEnd"/>
            <w:r w:rsidRPr="00977F55">
              <w:t xml:space="preserve"> des </w:t>
            </w:r>
            <w:proofErr w:type="spellStart"/>
            <w:r w:rsidRPr="00977F55">
              <w:t>Deutschen</w:t>
            </w:r>
            <w:proofErr w:type="spellEnd"/>
            <w:r w:rsidRPr="00977F55">
              <w:t xml:space="preserve"> </w:t>
            </w:r>
            <w:proofErr w:type="spellStart"/>
            <w:r w:rsidRPr="00977F55">
              <w:t>Stahlbaues</w:t>
            </w:r>
            <w:proofErr w:type="spellEnd"/>
            <w:r w:rsidRPr="00977F55">
              <w:t xml:space="preserve"> 2017 » en mars 2017</w:t>
            </w:r>
          </w:p>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Livraison et emménagement du locataire ING en avril 2017 sur la majorité des 14.600 m² de bureaux</w:t>
            </w:r>
          </w:p>
        </w:tc>
      </w:tr>
      <w:tr w:rsidR="00977F55" w:rsidRPr="00E0309E" w:rsidTr="00DF3BC6">
        <w:tc>
          <w:tcPr>
            <w:cnfStyle w:val="001000000000" w:firstRow="0" w:lastRow="0" w:firstColumn="1" w:lastColumn="0" w:oddVBand="0" w:evenVBand="0" w:oddHBand="0" w:evenHBand="0" w:firstRowFirstColumn="0" w:firstRowLastColumn="0" w:lastRowFirstColumn="0" w:lastRowLastColumn="0"/>
            <w:tcW w:w="2405" w:type="dxa"/>
          </w:tcPr>
          <w:p w:rsidR="00977F55" w:rsidRPr="00E0309E" w:rsidRDefault="00977F55" w:rsidP="00977F55">
            <w:pPr>
              <w:pStyle w:val="TABLEAUCONTENU"/>
            </w:pPr>
            <w:r w:rsidRPr="00E0309E">
              <w:t>Caractéristiques du projet</w:t>
            </w:r>
          </w:p>
        </w:tc>
        <w:tc>
          <w:tcPr>
            <w:tcW w:w="6611"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 xml:space="preserve">Projet mixte idéalement situé en face de la gare, l'immeuble KONS, certifié BREEAM Very Good pour la partie bureau se distingue par une réhabilitation très qualitative en termes de construction durable et de performance environnementale. Le projet intègre également une résidence de 31 appartements, ainsi des cellules commerciales en rez-de-chaussée.  La proximité immédiate de la gare fait de ce bâtiment un lieu idéal pour la mobilité de ses nouveaux occupants. </w:t>
            </w:r>
          </w:p>
        </w:tc>
      </w:tr>
      <w:tr w:rsidR="00977F55" w:rsidRPr="00E0309E" w:rsidTr="00DF3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77F55" w:rsidRPr="00E0309E" w:rsidRDefault="00977F55" w:rsidP="00977F55">
            <w:pPr>
              <w:pStyle w:val="TABLEAUCONTENU"/>
            </w:pPr>
            <w:r w:rsidRPr="00E0309E">
              <w:t>Unités résidentielles</w:t>
            </w:r>
          </w:p>
        </w:tc>
        <w:tc>
          <w:tcPr>
            <w:tcW w:w="6611"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31 appartements</w:t>
            </w:r>
          </w:p>
        </w:tc>
      </w:tr>
      <w:tr w:rsidR="00977F55" w:rsidRPr="00E0309E" w:rsidTr="00DF3BC6">
        <w:tc>
          <w:tcPr>
            <w:cnfStyle w:val="001000000000" w:firstRow="0" w:lastRow="0" w:firstColumn="1" w:lastColumn="0" w:oddVBand="0" w:evenVBand="0" w:oddHBand="0" w:evenHBand="0" w:firstRowFirstColumn="0" w:firstRowLastColumn="0" w:lastRowFirstColumn="0" w:lastRowLastColumn="0"/>
            <w:tcW w:w="2405" w:type="dxa"/>
          </w:tcPr>
          <w:p w:rsidR="00977F55" w:rsidRPr="00E0309E" w:rsidRDefault="00977F55" w:rsidP="00977F55">
            <w:pPr>
              <w:pStyle w:val="TABLEAUCONTENU"/>
            </w:pPr>
            <w:r w:rsidRPr="00E0309E">
              <w:t>Programme</w:t>
            </w:r>
          </w:p>
        </w:tc>
        <w:tc>
          <w:tcPr>
            <w:tcW w:w="6611"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22.788 dont 15.337 m² de bureaux, 2.790 m² de commerces et 2.465,55 m² de logements, ainsi que 2194 m² de sous-sols.</w:t>
            </w:r>
          </w:p>
        </w:tc>
      </w:tr>
      <w:tr w:rsidR="00977F55" w:rsidRPr="00E0309E" w:rsidTr="00DF3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77F55" w:rsidRPr="00E0309E" w:rsidRDefault="00977F55" w:rsidP="00977F55">
            <w:pPr>
              <w:pStyle w:val="TABLEAUCONTENU"/>
            </w:pPr>
            <w:r w:rsidRPr="00E0309E">
              <w:t>Permis obtenus</w:t>
            </w:r>
          </w:p>
        </w:tc>
        <w:tc>
          <w:tcPr>
            <w:tcW w:w="6611"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Permis d’urbanisme : Oui</w:t>
            </w:r>
          </w:p>
        </w:tc>
      </w:tr>
      <w:tr w:rsidR="00977F55" w:rsidRPr="00E0309E" w:rsidTr="00DF3BC6">
        <w:tc>
          <w:tcPr>
            <w:cnfStyle w:val="001000000000" w:firstRow="0" w:lastRow="0" w:firstColumn="1" w:lastColumn="0" w:oddVBand="0" w:evenVBand="0" w:oddHBand="0" w:evenHBand="0" w:firstRowFirstColumn="0" w:firstRowLastColumn="0" w:lastRowFirstColumn="0" w:lastRowLastColumn="0"/>
            <w:tcW w:w="2405" w:type="dxa"/>
          </w:tcPr>
          <w:p w:rsidR="00977F55" w:rsidRPr="00E0309E" w:rsidRDefault="00977F55" w:rsidP="00977F55">
            <w:pPr>
              <w:pStyle w:val="TABLEAUCONTENU"/>
            </w:pPr>
            <w:r w:rsidRPr="00E0309E">
              <w:t>Période de construction</w:t>
            </w:r>
          </w:p>
        </w:tc>
        <w:tc>
          <w:tcPr>
            <w:tcW w:w="6611"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Q2 2014 / Q1 2017</w:t>
            </w:r>
          </w:p>
        </w:tc>
      </w:tr>
    </w:tbl>
    <w:p w:rsidR="00C90C54" w:rsidRDefault="00C90C54" w:rsidP="00E95C2B">
      <w:pPr>
        <w:widowControl w:val="0"/>
      </w:pPr>
    </w:p>
    <w:tbl>
      <w:tblPr>
        <w:tblStyle w:val="GridTable4-Accent117"/>
        <w:tblW w:w="0" w:type="auto"/>
        <w:tblCellMar>
          <w:top w:w="57" w:type="dxa"/>
          <w:left w:w="57" w:type="dxa"/>
          <w:bottom w:w="57" w:type="dxa"/>
          <w:right w:w="57" w:type="dxa"/>
        </w:tblCellMar>
        <w:tblLook w:val="04A0" w:firstRow="1" w:lastRow="0" w:firstColumn="1" w:lastColumn="0" w:noHBand="0" w:noVBand="1"/>
      </w:tblPr>
      <w:tblGrid>
        <w:gridCol w:w="2410"/>
        <w:gridCol w:w="6606"/>
      </w:tblGrid>
      <w:tr w:rsidR="00977F55" w:rsidRPr="00EF0D9F" w:rsidTr="00C07E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rsidR="00977F55" w:rsidRPr="00977F55" w:rsidRDefault="00977F55" w:rsidP="00977F55">
            <w:pPr>
              <w:pStyle w:val="TABLEAUTETEDECOLONNE"/>
            </w:pPr>
            <w:r w:rsidRPr="00977F55">
              <w:lastRenderedPageBreak/>
              <w:t>CBD One – 18.700 m² - Varsovie, Pologne, (Quote-Part IMMOBEL : 50%)</w:t>
            </w:r>
          </w:p>
        </w:tc>
      </w:tr>
      <w:tr w:rsidR="00977F55" w:rsidRPr="00CC666B" w:rsidTr="00C07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77F55" w:rsidRPr="00977F55" w:rsidRDefault="00977F55" w:rsidP="00977F55">
            <w:pPr>
              <w:pStyle w:val="TABLEAUCONTENU"/>
            </w:pPr>
            <w:r w:rsidRPr="007A3F27">
              <w:t>Situation au 3</w:t>
            </w:r>
            <w:r w:rsidRPr="00977F55">
              <w:t>0 juin 2017</w:t>
            </w:r>
          </w:p>
        </w:tc>
        <w:tc>
          <w:tcPr>
            <w:tcW w:w="6606"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Le permis d’aménagement a été accordé, mais des procédures de restitution liées à des parcelles adjacentes à notre projet retardent le début de la construction. Celle-ci débutera selon toute probabilité en 2018.</w:t>
            </w:r>
          </w:p>
        </w:tc>
      </w:tr>
      <w:tr w:rsidR="00977F55" w:rsidRPr="00977F55" w:rsidTr="00C07EA5">
        <w:trPr>
          <w:trHeight w:val="922"/>
        </w:trPr>
        <w:tc>
          <w:tcPr>
            <w:cnfStyle w:val="001000000000" w:firstRow="0" w:lastRow="0" w:firstColumn="1" w:lastColumn="0" w:oddVBand="0" w:evenVBand="0" w:oddHBand="0" w:evenHBand="0" w:firstRowFirstColumn="0" w:firstRowLastColumn="0" w:lastRowFirstColumn="0" w:lastRowLastColumn="0"/>
            <w:tcW w:w="2410" w:type="dxa"/>
          </w:tcPr>
          <w:p w:rsidR="00977F55" w:rsidRPr="007A3F27" w:rsidRDefault="00977F55" w:rsidP="00977F55">
            <w:pPr>
              <w:pStyle w:val="TABLEAUCONTENU"/>
            </w:pPr>
            <w:r w:rsidRPr="007A3F27">
              <w:t>Caractéristiques du projet</w:t>
            </w:r>
          </w:p>
        </w:tc>
        <w:tc>
          <w:tcPr>
            <w:tcW w:w="6606"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CBD One est situé dans le centre de Varsovie, à l’intersection de deux lignes de métro.</w:t>
            </w:r>
          </w:p>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Ce bâtiment haut de gamme comprendra des bureaux et des espaces commerciaux. Il sera doté d’une structure très ambitieuse, dont une partie sera située directement au-dessus de la station de métro.</w:t>
            </w:r>
          </w:p>
        </w:tc>
      </w:tr>
      <w:tr w:rsidR="00977F55" w:rsidRPr="00977F55" w:rsidTr="00C07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77F55" w:rsidRPr="007A3F27" w:rsidRDefault="00977F55" w:rsidP="00977F55">
            <w:pPr>
              <w:pStyle w:val="TABLEAUCONTENU"/>
            </w:pPr>
            <w:r w:rsidRPr="007A3F27">
              <w:t>Programme</w:t>
            </w:r>
          </w:p>
        </w:tc>
        <w:tc>
          <w:tcPr>
            <w:tcW w:w="6606"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18.700 m² de bureaux (et espaces commerciaux au rez-de-chaussée et au premier étage).</w:t>
            </w:r>
          </w:p>
        </w:tc>
      </w:tr>
      <w:tr w:rsidR="00977F55" w:rsidRPr="00BD6C71" w:rsidTr="00C07EA5">
        <w:tc>
          <w:tcPr>
            <w:cnfStyle w:val="001000000000" w:firstRow="0" w:lastRow="0" w:firstColumn="1" w:lastColumn="0" w:oddVBand="0" w:evenVBand="0" w:oddHBand="0" w:evenHBand="0" w:firstRowFirstColumn="0" w:firstRowLastColumn="0" w:lastRowFirstColumn="0" w:lastRowLastColumn="0"/>
            <w:tcW w:w="2410" w:type="dxa"/>
          </w:tcPr>
          <w:p w:rsidR="00977F55" w:rsidRPr="007A3F27" w:rsidRDefault="00977F55" w:rsidP="00977F55">
            <w:pPr>
              <w:pStyle w:val="TABLEAUCONTENU"/>
            </w:pPr>
            <w:r w:rsidRPr="007A3F27">
              <w:t>Permis obtenu</w:t>
            </w:r>
          </w:p>
        </w:tc>
        <w:tc>
          <w:tcPr>
            <w:tcW w:w="6606"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Permis d’urbanisme : Oui</w:t>
            </w:r>
          </w:p>
        </w:tc>
      </w:tr>
      <w:tr w:rsidR="00977F55" w:rsidRPr="007A3F27" w:rsidTr="00C07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77F55" w:rsidRPr="007A3F27" w:rsidRDefault="00977F55" w:rsidP="00977F55">
            <w:pPr>
              <w:pStyle w:val="TABLEAUCONTENU"/>
            </w:pPr>
            <w:r w:rsidRPr="007A3F27">
              <w:t>Période de construction</w:t>
            </w:r>
          </w:p>
        </w:tc>
        <w:tc>
          <w:tcPr>
            <w:tcW w:w="6606"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H2 2018 / H2 2020.</w:t>
            </w:r>
          </w:p>
        </w:tc>
      </w:tr>
    </w:tbl>
    <w:p w:rsidR="00977F55" w:rsidRDefault="00977F55" w:rsidP="00E95C2B">
      <w:pPr>
        <w:widowControl w:val="0"/>
      </w:pPr>
    </w:p>
    <w:tbl>
      <w:tblPr>
        <w:tblStyle w:val="GridTable4-Accent119"/>
        <w:tblW w:w="0" w:type="auto"/>
        <w:tblCellMar>
          <w:top w:w="57" w:type="dxa"/>
          <w:left w:w="57" w:type="dxa"/>
          <w:bottom w:w="57" w:type="dxa"/>
          <w:right w:w="57" w:type="dxa"/>
        </w:tblCellMar>
        <w:tblLook w:val="04A0" w:firstRow="1" w:lastRow="0" w:firstColumn="1" w:lastColumn="0" w:noHBand="0" w:noVBand="1"/>
      </w:tblPr>
      <w:tblGrid>
        <w:gridCol w:w="2405"/>
        <w:gridCol w:w="6611"/>
      </w:tblGrid>
      <w:tr w:rsidR="00E0309E" w:rsidRPr="00E0309E" w:rsidTr="00E030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rsidR="00E0309E" w:rsidRPr="00EF0D9F" w:rsidRDefault="00E0309E" w:rsidP="00EF0D9F">
            <w:pPr>
              <w:pStyle w:val="TABLEAUTETEDECOLONNE"/>
            </w:pPr>
            <w:r w:rsidRPr="00EF0D9F">
              <w:t>VESALIUS - 16.133 m² - Louvain, Belgique</w:t>
            </w:r>
          </w:p>
        </w:tc>
      </w:tr>
      <w:tr w:rsidR="00977F55" w:rsidRPr="00E0309E" w:rsidTr="00E0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77F55" w:rsidRPr="00977F55" w:rsidRDefault="00977F55" w:rsidP="00977F55">
            <w:pPr>
              <w:pStyle w:val="TABLEAUCONTENU"/>
            </w:pPr>
            <w:r w:rsidRPr="00E0309E">
              <w:t>Situation au 3</w:t>
            </w:r>
            <w:r w:rsidRPr="00977F55">
              <w:t>0 juin 2017</w:t>
            </w:r>
          </w:p>
        </w:tc>
        <w:tc>
          <w:tcPr>
            <w:tcW w:w="6611"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100% vendu</w:t>
            </w:r>
          </w:p>
        </w:tc>
      </w:tr>
      <w:tr w:rsidR="00977F55" w:rsidRPr="00E0309E" w:rsidTr="00E0309E">
        <w:tc>
          <w:tcPr>
            <w:cnfStyle w:val="001000000000" w:firstRow="0" w:lastRow="0" w:firstColumn="1" w:lastColumn="0" w:oddVBand="0" w:evenVBand="0" w:oddHBand="0" w:evenHBand="0" w:firstRowFirstColumn="0" w:firstRowLastColumn="0" w:lastRowFirstColumn="0" w:lastRowLastColumn="0"/>
            <w:tcW w:w="2405" w:type="dxa"/>
          </w:tcPr>
          <w:p w:rsidR="00977F55" w:rsidRPr="00E0309E" w:rsidRDefault="00977F55" w:rsidP="00977F55">
            <w:pPr>
              <w:pStyle w:val="TABLEAUCONTENU"/>
            </w:pPr>
            <w:r w:rsidRPr="00E0309E">
              <w:t>Caractéristiques du projet</w:t>
            </w:r>
          </w:p>
        </w:tc>
        <w:tc>
          <w:tcPr>
            <w:tcW w:w="6611"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Au cœur même du centre historique de Louvain et à quelques pas de son université de grande renommée (KUL), ce complexe à usage mixte comprend de superbes appartements et studios, ainsi que des locaux commerciaux. Il compte également 2 cinémas et 1 auditorium.</w:t>
            </w:r>
          </w:p>
        </w:tc>
      </w:tr>
      <w:tr w:rsidR="00977F55" w:rsidRPr="00E0309E" w:rsidTr="00E0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77F55" w:rsidRPr="00E0309E" w:rsidRDefault="00977F55" w:rsidP="00977F55">
            <w:pPr>
              <w:pStyle w:val="TABLEAUCONTENU"/>
            </w:pPr>
            <w:r w:rsidRPr="00E0309E">
              <w:t>Unités résidentielles</w:t>
            </w:r>
          </w:p>
        </w:tc>
        <w:tc>
          <w:tcPr>
            <w:tcW w:w="6611"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128 appartements &amp; studios</w:t>
            </w:r>
          </w:p>
        </w:tc>
      </w:tr>
      <w:tr w:rsidR="00977F55" w:rsidRPr="00E0309E" w:rsidTr="00E0309E">
        <w:tc>
          <w:tcPr>
            <w:cnfStyle w:val="001000000000" w:firstRow="0" w:lastRow="0" w:firstColumn="1" w:lastColumn="0" w:oddVBand="0" w:evenVBand="0" w:oddHBand="0" w:evenHBand="0" w:firstRowFirstColumn="0" w:firstRowLastColumn="0" w:lastRowFirstColumn="0" w:lastRowLastColumn="0"/>
            <w:tcW w:w="2405" w:type="dxa"/>
          </w:tcPr>
          <w:p w:rsidR="00977F55" w:rsidRPr="00E0309E" w:rsidRDefault="00977F55" w:rsidP="00977F55">
            <w:pPr>
              <w:pStyle w:val="TABLEAUCONTENU"/>
            </w:pPr>
            <w:r w:rsidRPr="00E0309E">
              <w:t>Programme</w:t>
            </w:r>
          </w:p>
        </w:tc>
        <w:tc>
          <w:tcPr>
            <w:tcW w:w="6611"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16.133 m² - 68 appartements - 60 studios - 10 magasins de détail - 2 cinémas - 1 auditorium</w:t>
            </w:r>
          </w:p>
        </w:tc>
      </w:tr>
      <w:tr w:rsidR="00977F55" w:rsidRPr="00E0309E" w:rsidTr="00E0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77F55" w:rsidRPr="00E0309E" w:rsidRDefault="00977F55" w:rsidP="00977F55">
            <w:pPr>
              <w:pStyle w:val="TABLEAUCONTENU"/>
            </w:pPr>
            <w:r w:rsidRPr="00E0309E">
              <w:t>Permis obtenus</w:t>
            </w:r>
          </w:p>
        </w:tc>
        <w:tc>
          <w:tcPr>
            <w:tcW w:w="6611"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Permis d’urbanisme : Oui - Permis d’environnement : Oui</w:t>
            </w:r>
          </w:p>
        </w:tc>
      </w:tr>
      <w:tr w:rsidR="00977F55" w:rsidRPr="00E0309E" w:rsidTr="00E0309E">
        <w:tc>
          <w:tcPr>
            <w:cnfStyle w:val="001000000000" w:firstRow="0" w:lastRow="0" w:firstColumn="1" w:lastColumn="0" w:oddVBand="0" w:evenVBand="0" w:oddHBand="0" w:evenHBand="0" w:firstRowFirstColumn="0" w:firstRowLastColumn="0" w:lastRowFirstColumn="0" w:lastRowLastColumn="0"/>
            <w:tcW w:w="2405" w:type="dxa"/>
          </w:tcPr>
          <w:p w:rsidR="00977F55" w:rsidRPr="00E0309E" w:rsidRDefault="00977F55" w:rsidP="00977F55">
            <w:pPr>
              <w:pStyle w:val="TABLEAUCONTENU"/>
            </w:pPr>
            <w:r w:rsidRPr="00E0309E">
              <w:t>Période de construction</w:t>
            </w:r>
          </w:p>
        </w:tc>
        <w:tc>
          <w:tcPr>
            <w:tcW w:w="6611"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Q3 2014 / Q3 2016</w:t>
            </w:r>
          </w:p>
        </w:tc>
      </w:tr>
    </w:tbl>
    <w:p w:rsidR="00E0309E" w:rsidRDefault="00E0309E" w:rsidP="00E95C2B">
      <w:pPr>
        <w:widowControl w:val="0"/>
      </w:pPr>
    </w:p>
    <w:tbl>
      <w:tblPr>
        <w:tblStyle w:val="GridTable4-Accent1200"/>
        <w:tblW w:w="0" w:type="auto"/>
        <w:tblCellMar>
          <w:top w:w="57" w:type="dxa"/>
          <w:left w:w="57" w:type="dxa"/>
          <w:bottom w:w="57" w:type="dxa"/>
          <w:right w:w="57" w:type="dxa"/>
        </w:tblCellMar>
        <w:tblLook w:val="04A0" w:firstRow="1" w:lastRow="0" w:firstColumn="1" w:lastColumn="0" w:noHBand="0" w:noVBand="1"/>
      </w:tblPr>
      <w:tblGrid>
        <w:gridCol w:w="2405"/>
        <w:gridCol w:w="6611"/>
      </w:tblGrid>
      <w:tr w:rsidR="00E0309E" w:rsidRPr="00E0309E" w:rsidTr="00E030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rsidR="00E0309E" w:rsidRPr="00EF0D9F" w:rsidRDefault="00E0309E" w:rsidP="00EF0D9F">
            <w:pPr>
              <w:pStyle w:val="TABLEAUTETEDECOLONNE"/>
            </w:pPr>
            <w:r w:rsidRPr="00EF0D9F">
              <w:t>VAARTKOM - 13.</w:t>
            </w:r>
            <w:r w:rsidR="00E05DCC">
              <w:t>500</w:t>
            </w:r>
            <w:r w:rsidRPr="00EF0D9F">
              <w:t xml:space="preserve"> m² - Louvain, Belgique</w:t>
            </w:r>
          </w:p>
        </w:tc>
      </w:tr>
      <w:tr w:rsidR="00977F55" w:rsidRPr="00E0309E" w:rsidTr="00E0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77F55" w:rsidRPr="00977F55" w:rsidRDefault="00977F55" w:rsidP="00977F55">
            <w:pPr>
              <w:pStyle w:val="TABLEAUCONTENU"/>
            </w:pPr>
            <w:r w:rsidRPr="00E0309E">
              <w:t>Situation au 3</w:t>
            </w:r>
            <w:r w:rsidRPr="00977F55">
              <w:t>0 juin 2017</w:t>
            </w:r>
          </w:p>
        </w:tc>
        <w:tc>
          <w:tcPr>
            <w:tcW w:w="6611"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 xml:space="preserve">Introduction d’une demande de permis d’urbanisme </w:t>
            </w:r>
          </w:p>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Finalisation des accords entre parties (Bureaux et résidences-services).</w:t>
            </w:r>
          </w:p>
        </w:tc>
      </w:tr>
      <w:tr w:rsidR="00977F55" w:rsidRPr="00E0309E" w:rsidTr="00E0309E">
        <w:tc>
          <w:tcPr>
            <w:cnfStyle w:val="001000000000" w:firstRow="0" w:lastRow="0" w:firstColumn="1" w:lastColumn="0" w:oddVBand="0" w:evenVBand="0" w:oddHBand="0" w:evenHBand="0" w:firstRowFirstColumn="0" w:firstRowLastColumn="0" w:lastRowFirstColumn="0" w:lastRowLastColumn="0"/>
            <w:tcW w:w="2405" w:type="dxa"/>
          </w:tcPr>
          <w:p w:rsidR="00977F55" w:rsidRPr="00E0309E" w:rsidRDefault="00977F55" w:rsidP="00977F55">
            <w:pPr>
              <w:pStyle w:val="TABLEAUCONTENU"/>
            </w:pPr>
            <w:r w:rsidRPr="00E0309E">
              <w:t>Caractéristiques du projet</w:t>
            </w:r>
          </w:p>
        </w:tc>
        <w:tc>
          <w:tcPr>
            <w:tcW w:w="6611"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Ce complexe résidentiel à usage mixte bénéficie d’un emplacement exceptionnel avec vue sur le canal et propose des appartements-services et un bâtiment de bureau</w:t>
            </w:r>
            <w:r w:rsidR="00E97AD3">
              <w:t>x.</w:t>
            </w:r>
            <w:r w:rsidRPr="00977F55">
              <w:t xml:space="preserve"> </w:t>
            </w:r>
          </w:p>
        </w:tc>
      </w:tr>
      <w:tr w:rsidR="00977F55" w:rsidRPr="00E0309E" w:rsidTr="00E0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77F55" w:rsidRPr="00977F55" w:rsidRDefault="00977F55" w:rsidP="00977F55">
            <w:pPr>
              <w:pStyle w:val="TABLEAUCONTENU"/>
            </w:pPr>
            <w:r>
              <w:t>Unités résidentielles</w:t>
            </w:r>
          </w:p>
        </w:tc>
        <w:tc>
          <w:tcPr>
            <w:tcW w:w="6611" w:type="dxa"/>
          </w:tcPr>
          <w:p w:rsidR="00977F55" w:rsidRPr="00977F55" w:rsidRDefault="00E97AD3" w:rsidP="00977F55">
            <w:pPr>
              <w:pStyle w:val="TABLEAUCONTENU"/>
              <w:cnfStyle w:val="000000100000" w:firstRow="0" w:lastRow="0" w:firstColumn="0" w:lastColumn="0" w:oddVBand="0" w:evenVBand="0" w:oddHBand="1" w:evenHBand="0" w:firstRowFirstColumn="0" w:firstRowLastColumn="0" w:lastRowFirstColumn="0" w:lastRowLastColumn="0"/>
            </w:pPr>
            <w:r>
              <w:t>109</w:t>
            </w:r>
          </w:p>
        </w:tc>
      </w:tr>
      <w:tr w:rsidR="00977F55" w:rsidRPr="00E0309E" w:rsidTr="00E0309E">
        <w:tc>
          <w:tcPr>
            <w:cnfStyle w:val="001000000000" w:firstRow="0" w:lastRow="0" w:firstColumn="1" w:lastColumn="0" w:oddVBand="0" w:evenVBand="0" w:oddHBand="0" w:evenHBand="0" w:firstRowFirstColumn="0" w:firstRowLastColumn="0" w:lastRowFirstColumn="0" w:lastRowLastColumn="0"/>
            <w:tcW w:w="2405" w:type="dxa"/>
          </w:tcPr>
          <w:p w:rsidR="00977F55" w:rsidRPr="00E0309E" w:rsidRDefault="00977F55" w:rsidP="00977F55">
            <w:pPr>
              <w:pStyle w:val="TABLEAUCONTENU"/>
            </w:pPr>
            <w:r w:rsidRPr="00E0309E">
              <w:t>Programme</w:t>
            </w:r>
          </w:p>
        </w:tc>
        <w:tc>
          <w:tcPr>
            <w:tcW w:w="6611"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10.500 m² de résidences-services + 2.200 m² bureaux</w:t>
            </w:r>
          </w:p>
        </w:tc>
      </w:tr>
      <w:tr w:rsidR="00977F55" w:rsidRPr="00E0309E" w:rsidTr="00E0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77F55" w:rsidRPr="00E0309E" w:rsidRDefault="00977F55" w:rsidP="00977F55">
            <w:pPr>
              <w:pStyle w:val="TABLEAUCONTENU"/>
            </w:pPr>
            <w:r w:rsidRPr="00E0309E">
              <w:t>Permis obtenus</w:t>
            </w:r>
          </w:p>
        </w:tc>
        <w:tc>
          <w:tcPr>
            <w:tcW w:w="6611"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Permis d’urbanisme : Non - Permis d’environnement : Non</w:t>
            </w:r>
          </w:p>
        </w:tc>
      </w:tr>
      <w:tr w:rsidR="00977F55" w:rsidRPr="00E0309E" w:rsidTr="00E0309E">
        <w:tc>
          <w:tcPr>
            <w:cnfStyle w:val="001000000000" w:firstRow="0" w:lastRow="0" w:firstColumn="1" w:lastColumn="0" w:oddVBand="0" w:evenVBand="0" w:oddHBand="0" w:evenHBand="0" w:firstRowFirstColumn="0" w:firstRowLastColumn="0" w:lastRowFirstColumn="0" w:lastRowLastColumn="0"/>
            <w:tcW w:w="2405" w:type="dxa"/>
          </w:tcPr>
          <w:p w:rsidR="00977F55" w:rsidRPr="00E0309E" w:rsidRDefault="00977F55" w:rsidP="00977F55">
            <w:pPr>
              <w:pStyle w:val="TABLEAUCONTENU"/>
            </w:pPr>
            <w:r w:rsidRPr="00E0309E">
              <w:t>Période de construction</w:t>
            </w:r>
          </w:p>
        </w:tc>
        <w:tc>
          <w:tcPr>
            <w:tcW w:w="6611"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Q4 2017 – Q4 2019</w:t>
            </w:r>
          </w:p>
        </w:tc>
      </w:tr>
    </w:tbl>
    <w:p w:rsidR="00DC7EDE" w:rsidRDefault="00DC7EDE" w:rsidP="00E95C2B">
      <w:pPr>
        <w:widowControl w:val="0"/>
      </w:pPr>
    </w:p>
    <w:p w:rsidR="00DC7EDE" w:rsidRDefault="00DC7EDE" w:rsidP="00DC7EDE">
      <w:r>
        <w:br w:type="page"/>
      </w:r>
    </w:p>
    <w:tbl>
      <w:tblPr>
        <w:tblStyle w:val="GridTable4-Accent1200"/>
        <w:tblW w:w="0" w:type="auto"/>
        <w:tblCellMar>
          <w:top w:w="57" w:type="dxa"/>
          <w:left w:w="57" w:type="dxa"/>
          <w:bottom w:w="57" w:type="dxa"/>
          <w:right w:w="57" w:type="dxa"/>
        </w:tblCellMar>
        <w:tblLook w:val="04A0" w:firstRow="1" w:lastRow="0" w:firstColumn="1" w:lastColumn="0" w:noHBand="0" w:noVBand="1"/>
      </w:tblPr>
      <w:tblGrid>
        <w:gridCol w:w="2405"/>
        <w:gridCol w:w="6611"/>
      </w:tblGrid>
      <w:tr w:rsidR="00DC7EDE" w:rsidRPr="00E0309E" w:rsidTr="00A32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rsidR="00DC7EDE" w:rsidRPr="00EF0D9F" w:rsidRDefault="00DC7EDE" w:rsidP="00A32B97">
            <w:pPr>
              <w:pStyle w:val="TABLEAUTETEDECOLONNE"/>
            </w:pPr>
            <w:r>
              <w:lastRenderedPageBreak/>
              <w:t xml:space="preserve">PARC SENY </w:t>
            </w:r>
            <w:r w:rsidRPr="00EF0D9F">
              <w:t>- 13.</w:t>
            </w:r>
            <w:r>
              <w:t>200</w:t>
            </w:r>
            <w:r w:rsidRPr="00EF0D9F">
              <w:t xml:space="preserve"> m² - </w:t>
            </w:r>
            <w:r>
              <w:t>Auderghem</w:t>
            </w:r>
            <w:r w:rsidRPr="00EF0D9F">
              <w:t>, Belgique</w:t>
            </w:r>
          </w:p>
        </w:tc>
      </w:tr>
      <w:tr w:rsidR="00977F55" w:rsidRPr="00E0309E" w:rsidTr="00A32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77F55" w:rsidRPr="00977F55" w:rsidRDefault="00977F55" w:rsidP="00977F55">
            <w:pPr>
              <w:pStyle w:val="TABLEAUCONTENU"/>
            </w:pPr>
            <w:r w:rsidRPr="00E0309E">
              <w:t>Situation au 3</w:t>
            </w:r>
            <w:r w:rsidRPr="00977F55">
              <w:t>0 juin 2017</w:t>
            </w:r>
          </w:p>
        </w:tc>
        <w:tc>
          <w:tcPr>
            <w:tcW w:w="6611"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Démantèlement finalisé</w:t>
            </w:r>
          </w:p>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Finalisation du contrat d’entreprise</w:t>
            </w:r>
          </w:p>
          <w:p w:rsid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 xml:space="preserve">Permis modificatif </w:t>
            </w:r>
            <w:r w:rsidR="00E97AD3">
              <w:t>a été</w:t>
            </w:r>
            <w:r w:rsidRPr="00977F55">
              <w:t xml:space="preserve"> introduit en </w:t>
            </w:r>
            <w:r w:rsidR="00E97AD3">
              <w:t>juillet</w:t>
            </w:r>
            <w:r w:rsidRPr="00977F55">
              <w:t xml:space="preserve"> 2017</w:t>
            </w:r>
          </w:p>
          <w:p w:rsidR="00E52BBE" w:rsidRPr="00977F55" w:rsidRDefault="00E52BBE" w:rsidP="00977F55">
            <w:pPr>
              <w:pStyle w:val="TABLEAUCONTENU"/>
              <w:cnfStyle w:val="000000100000" w:firstRow="0" w:lastRow="0" w:firstColumn="0" w:lastColumn="0" w:oddVBand="0" w:evenVBand="0" w:oddHBand="1" w:evenHBand="0" w:firstRowFirstColumn="0" w:firstRowLastColumn="0" w:lastRowFirstColumn="0" w:lastRowLastColumn="0"/>
            </w:pPr>
            <w:r>
              <w:t>La commercialisation a débuté en juin 2017 – 13% vendu</w:t>
            </w:r>
          </w:p>
        </w:tc>
      </w:tr>
      <w:tr w:rsidR="00977F55" w:rsidRPr="00E0309E" w:rsidTr="00A32B97">
        <w:tc>
          <w:tcPr>
            <w:cnfStyle w:val="001000000000" w:firstRow="0" w:lastRow="0" w:firstColumn="1" w:lastColumn="0" w:oddVBand="0" w:evenVBand="0" w:oddHBand="0" w:evenHBand="0" w:firstRowFirstColumn="0" w:firstRowLastColumn="0" w:lastRowFirstColumn="0" w:lastRowLastColumn="0"/>
            <w:tcW w:w="2405" w:type="dxa"/>
          </w:tcPr>
          <w:p w:rsidR="00977F55" w:rsidRPr="00E0309E" w:rsidRDefault="00977F55" w:rsidP="00977F55">
            <w:pPr>
              <w:pStyle w:val="TABLEAUCONTENU"/>
            </w:pPr>
            <w:r w:rsidRPr="00E0309E">
              <w:t>Caractéristiques du projet</w:t>
            </w:r>
          </w:p>
        </w:tc>
        <w:tc>
          <w:tcPr>
            <w:tcW w:w="6611"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À Auderghem, en retrait du Boulevard du Souverain, et à proximité immédiate de la station de métro Herrmann-</w:t>
            </w:r>
            <w:proofErr w:type="spellStart"/>
            <w:r w:rsidRPr="00977F55">
              <w:t>Debroux</w:t>
            </w:r>
            <w:proofErr w:type="spellEnd"/>
            <w:r w:rsidRPr="00977F55">
              <w:t>, le projet bénéficie d’un environnement extrêmement vert et arboré. Il consiste en la transformation d’un bâtiment années ‘70 en un ensemble de logements très qualitatifs et respectueux de l’environnement</w:t>
            </w:r>
            <w:r w:rsidR="00E52BBE">
              <w:t xml:space="preserve"> à côté du Parc </w:t>
            </w:r>
            <w:proofErr w:type="spellStart"/>
            <w:r w:rsidR="00E52BBE">
              <w:t>Seny</w:t>
            </w:r>
            <w:proofErr w:type="spellEnd"/>
            <w:r w:rsidR="00E52BBE">
              <w:t>.</w:t>
            </w:r>
          </w:p>
        </w:tc>
      </w:tr>
      <w:tr w:rsidR="00977F55" w:rsidRPr="00E0309E" w:rsidTr="00A32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77F55" w:rsidRPr="00977F55" w:rsidRDefault="00977F55" w:rsidP="00977F55">
            <w:pPr>
              <w:pStyle w:val="TABLEAUCONTENU"/>
            </w:pPr>
            <w:r>
              <w:t>Unités résidentielles</w:t>
            </w:r>
          </w:p>
        </w:tc>
        <w:tc>
          <w:tcPr>
            <w:tcW w:w="6611"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 xml:space="preserve">120 appartements  </w:t>
            </w:r>
          </w:p>
        </w:tc>
      </w:tr>
      <w:tr w:rsidR="00977F55" w:rsidRPr="00E0309E" w:rsidTr="00A32B97">
        <w:tc>
          <w:tcPr>
            <w:cnfStyle w:val="001000000000" w:firstRow="0" w:lastRow="0" w:firstColumn="1" w:lastColumn="0" w:oddVBand="0" w:evenVBand="0" w:oddHBand="0" w:evenHBand="0" w:firstRowFirstColumn="0" w:firstRowLastColumn="0" w:lastRowFirstColumn="0" w:lastRowLastColumn="0"/>
            <w:tcW w:w="2405" w:type="dxa"/>
          </w:tcPr>
          <w:p w:rsidR="00977F55" w:rsidRPr="00E0309E" w:rsidRDefault="00977F55" w:rsidP="00977F55">
            <w:pPr>
              <w:pStyle w:val="TABLEAUCONTENU"/>
            </w:pPr>
            <w:r w:rsidRPr="00E0309E">
              <w:t>Programme</w:t>
            </w:r>
          </w:p>
        </w:tc>
        <w:tc>
          <w:tcPr>
            <w:tcW w:w="6611"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 xml:space="preserve">120 appartements, dont studios, 1, 2 et 3 chambres, </w:t>
            </w:r>
            <w:proofErr w:type="spellStart"/>
            <w:r w:rsidRPr="00977F55">
              <w:t>penthouses</w:t>
            </w:r>
            <w:proofErr w:type="spellEnd"/>
          </w:p>
          <w:p w:rsidR="00977F55" w:rsidRPr="00977F55" w:rsidRDefault="00E52BBE" w:rsidP="00977F55">
            <w:pPr>
              <w:pStyle w:val="TABLEAUCONTENU"/>
              <w:cnfStyle w:val="000000000000" w:firstRow="0" w:lastRow="0" w:firstColumn="0" w:lastColumn="0" w:oddVBand="0" w:evenVBand="0" w:oddHBand="0" w:evenHBand="0" w:firstRowFirstColumn="0" w:firstRowLastColumn="0" w:lastRowFirstColumn="0" w:lastRowLastColumn="0"/>
            </w:pPr>
            <w:r>
              <w:t>156</w:t>
            </w:r>
            <w:r w:rsidR="00977F55" w:rsidRPr="00977F55">
              <w:t xml:space="preserve"> emplacements de parking en sous-sol</w:t>
            </w:r>
          </w:p>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128 emplacements de vélo en sous-sol</w:t>
            </w:r>
          </w:p>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16 emplacements de moto en sous-sol</w:t>
            </w:r>
          </w:p>
        </w:tc>
      </w:tr>
      <w:tr w:rsidR="00977F55" w:rsidRPr="00E0309E" w:rsidTr="00A32B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77F55" w:rsidRPr="00E0309E" w:rsidRDefault="00977F55" w:rsidP="00977F55">
            <w:pPr>
              <w:pStyle w:val="TABLEAUCONTENU"/>
            </w:pPr>
            <w:r w:rsidRPr="00E0309E">
              <w:t>Permis obtenus</w:t>
            </w:r>
          </w:p>
        </w:tc>
        <w:tc>
          <w:tcPr>
            <w:tcW w:w="6611"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 xml:space="preserve">Permis d’urbanisme : Oui </w:t>
            </w:r>
          </w:p>
        </w:tc>
      </w:tr>
      <w:tr w:rsidR="00977F55" w:rsidRPr="00E0309E" w:rsidTr="00A32B97">
        <w:tc>
          <w:tcPr>
            <w:cnfStyle w:val="001000000000" w:firstRow="0" w:lastRow="0" w:firstColumn="1" w:lastColumn="0" w:oddVBand="0" w:evenVBand="0" w:oddHBand="0" w:evenHBand="0" w:firstRowFirstColumn="0" w:firstRowLastColumn="0" w:lastRowFirstColumn="0" w:lastRowLastColumn="0"/>
            <w:tcW w:w="2405" w:type="dxa"/>
          </w:tcPr>
          <w:p w:rsidR="00977F55" w:rsidRPr="00E0309E" w:rsidRDefault="00977F55" w:rsidP="00977F55">
            <w:pPr>
              <w:pStyle w:val="TABLEAUCONTENU"/>
            </w:pPr>
            <w:r w:rsidRPr="00E0309E">
              <w:t>Période de construction</w:t>
            </w:r>
          </w:p>
        </w:tc>
        <w:tc>
          <w:tcPr>
            <w:tcW w:w="6611"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Début des constructions prévus pour septembre 2017</w:t>
            </w:r>
          </w:p>
        </w:tc>
      </w:tr>
    </w:tbl>
    <w:p w:rsidR="002426E9" w:rsidRDefault="002426E9" w:rsidP="002426E9"/>
    <w:tbl>
      <w:tblPr>
        <w:tblStyle w:val="GridTable4-Accent121"/>
        <w:tblW w:w="0" w:type="auto"/>
        <w:tblCellMar>
          <w:top w:w="57" w:type="dxa"/>
          <w:left w:w="57" w:type="dxa"/>
          <w:bottom w:w="57" w:type="dxa"/>
          <w:right w:w="57" w:type="dxa"/>
        </w:tblCellMar>
        <w:tblLook w:val="04A0" w:firstRow="1" w:lastRow="0" w:firstColumn="1" w:lastColumn="0" w:noHBand="0" w:noVBand="1"/>
      </w:tblPr>
      <w:tblGrid>
        <w:gridCol w:w="2410"/>
        <w:gridCol w:w="6606"/>
      </w:tblGrid>
      <w:tr w:rsidR="00E0309E" w:rsidRPr="005B2906" w:rsidTr="00E030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rsidR="00E0309E" w:rsidRPr="00263A40" w:rsidRDefault="00197CD3" w:rsidP="00EF0D9F">
            <w:pPr>
              <w:pStyle w:val="TABLEAUTETEDECOLONNE"/>
              <w:rPr>
                <w:lang w:val="en-GB"/>
              </w:rPr>
            </w:pPr>
            <w:r w:rsidRPr="00263A40">
              <w:rPr>
                <w:lang w:val="en-GB"/>
              </w:rPr>
              <w:t>LAKE FRONT</w:t>
            </w:r>
            <w:r w:rsidR="00E0309E" w:rsidRPr="00263A40">
              <w:rPr>
                <w:lang w:val="en-GB"/>
              </w:rPr>
              <w:t xml:space="preserve"> – 12.</w:t>
            </w:r>
            <w:r w:rsidR="0017572C" w:rsidRPr="00263A40">
              <w:rPr>
                <w:lang w:val="en-GB"/>
              </w:rPr>
              <w:t>000</w:t>
            </w:r>
            <w:r w:rsidR="00E0309E" w:rsidRPr="00263A40">
              <w:rPr>
                <w:lang w:val="en-GB"/>
              </w:rPr>
              <w:t xml:space="preserve"> m² - Knokke-Heist, </w:t>
            </w:r>
            <w:proofErr w:type="spellStart"/>
            <w:r w:rsidR="00E0309E" w:rsidRPr="00263A40">
              <w:rPr>
                <w:lang w:val="en-GB"/>
              </w:rPr>
              <w:t>Belgique</w:t>
            </w:r>
            <w:proofErr w:type="spellEnd"/>
          </w:p>
        </w:tc>
      </w:tr>
      <w:tr w:rsidR="00977F55" w:rsidRPr="00E0309E" w:rsidTr="00E0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77F55" w:rsidRPr="00977F55" w:rsidRDefault="00977F55" w:rsidP="00977F55">
            <w:pPr>
              <w:pStyle w:val="TABLEAUCONTENU"/>
            </w:pPr>
            <w:r w:rsidRPr="00E0309E">
              <w:t xml:space="preserve">Situation au </w:t>
            </w:r>
            <w:r w:rsidRPr="00977F55">
              <w:t>30 juin 2017</w:t>
            </w:r>
          </w:p>
        </w:tc>
        <w:tc>
          <w:tcPr>
            <w:tcW w:w="6606"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Phase 1 livré</w:t>
            </w:r>
            <w:r w:rsidR="00E52BBE">
              <w:t xml:space="preserve"> – 91% vendu</w:t>
            </w:r>
          </w:p>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Phase 2 – livraison prévu</w:t>
            </w:r>
            <w:r w:rsidR="00E52BBE">
              <w:t>e</w:t>
            </w:r>
            <w:r w:rsidRPr="00977F55">
              <w:t xml:space="preserve"> en Q2/3 2018</w:t>
            </w:r>
            <w:r w:rsidR="00E52BBE">
              <w:t xml:space="preserve"> – 87% vendu</w:t>
            </w:r>
          </w:p>
        </w:tc>
      </w:tr>
      <w:tr w:rsidR="00977F55" w:rsidRPr="00E0309E" w:rsidTr="00B134BE">
        <w:trPr>
          <w:trHeight w:val="552"/>
        </w:trPr>
        <w:tc>
          <w:tcPr>
            <w:cnfStyle w:val="001000000000" w:firstRow="0" w:lastRow="0" w:firstColumn="1" w:lastColumn="0" w:oddVBand="0" w:evenVBand="0" w:oddHBand="0" w:evenHBand="0" w:firstRowFirstColumn="0" w:firstRowLastColumn="0" w:lastRowFirstColumn="0" w:lastRowLastColumn="0"/>
            <w:tcW w:w="2410" w:type="dxa"/>
          </w:tcPr>
          <w:p w:rsidR="00977F55" w:rsidRPr="00E0309E" w:rsidRDefault="00977F55" w:rsidP="00977F55">
            <w:pPr>
              <w:pStyle w:val="TABLEAUCONTENU"/>
            </w:pPr>
            <w:r w:rsidRPr="00E0309E">
              <w:t>Caractéristiques du projet</w:t>
            </w:r>
          </w:p>
        </w:tc>
        <w:tc>
          <w:tcPr>
            <w:tcW w:w="6606"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 xml:space="preserve">À quelques minutes à pied du magnifique centre urbain de </w:t>
            </w:r>
            <w:proofErr w:type="spellStart"/>
            <w:r w:rsidRPr="00977F55">
              <w:t>Knokke</w:t>
            </w:r>
            <w:proofErr w:type="spellEnd"/>
            <w:r w:rsidRPr="00977F55">
              <w:t xml:space="preserve">, ce complexe résidentiel surplombe le plan d'eau du </w:t>
            </w:r>
            <w:proofErr w:type="spellStart"/>
            <w:r w:rsidRPr="00977F55">
              <w:t>Duinenwater</w:t>
            </w:r>
            <w:proofErr w:type="spellEnd"/>
            <w:r w:rsidRPr="00977F55">
              <w:t>. Il propose des appartements exclusifs avec vue sur l'eau, à deux pas du nouveau golf, de la piscine et de la plage.</w:t>
            </w:r>
          </w:p>
        </w:tc>
      </w:tr>
      <w:tr w:rsidR="00977F55" w:rsidRPr="00E0309E" w:rsidTr="00E0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77F55" w:rsidRPr="00E0309E" w:rsidRDefault="00977F55" w:rsidP="00977F55">
            <w:pPr>
              <w:pStyle w:val="TABLEAUCONTENU"/>
            </w:pPr>
            <w:r w:rsidRPr="00E0309E">
              <w:t>Unités résidentielles</w:t>
            </w:r>
          </w:p>
        </w:tc>
        <w:tc>
          <w:tcPr>
            <w:tcW w:w="6606"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Phase 1 : 70 appartements. Phase 2 : 50 appartements.</w:t>
            </w:r>
          </w:p>
        </w:tc>
      </w:tr>
      <w:tr w:rsidR="00977F55" w:rsidRPr="00E0309E" w:rsidTr="00E0309E">
        <w:tc>
          <w:tcPr>
            <w:cnfStyle w:val="001000000000" w:firstRow="0" w:lastRow="0" w:firstColumn="1" w:lastColumn="0" w:oddVBand="0" w:evenVBand="0" w:oddHBand="0" w:evenHBand="0" w:firstRowFirstColumn="0" w:firstRowLastColumn="0" w:lastRowFirstColumn="0" w:lastRowLastColumn="0"/>
            <w:tcW w:w="2410" w:type="dxa"/>
          </w:tcPr>
          <w:p w:rsidR="00977F55" w:rsidRPr="00E0309E" w:rsidRDefault="00977F55" w:rsidP="00977F55">
            <w:pPr>
              <w:pStyle w:val="TABLEAUCONTENU"/>
            </w:pPr>
            <w:r w:rsidRPr="00E0309E">
              <w:t>Programme</w:t>
            </w:r>
          </w:p>
        </w:tc>
        <w:tc>
          <w:tcPr>
            <w:tcW w:w="6606"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12.000 m² d'espaces résidentiels</w:t>
            </w:r>
          </w:p>
        </w:tc>
      </w:tr>
      <w:tr w:rsidR="00977F55" w:rsidRPr="00E0309E" w:rsidTr="00E0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77F55" w:rsidRPr="00E0309E" w:rsidRDefault="00977F55" w:rsidP="00977F55">
            <w:pPr>
              <w:pStyle w:val="TABLEAUCONTENU"/>
            </w:pPr>
            <w:r w:rsidRPr="00E0309E">
              <w:t>Permis obtenu</w:t>
            </w:r>
          </w:p>
        </w:tc>
        <w:tc>
          <w:tcPr>
            <w:tcW w:w="6606"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Permis d’urbanisme : Oui - Permis d’environnement : Oui</w:t>
            </w:r>
          </w:p>
        </w:tc>
      </w:tr>
      <w:tr w:rsidR="00977F55" w:rsidRPr="00E0309E" w:rsidTr="00E0309E">
        <w:tc>
          <w:tcPr>
            <w:cnfStyle w:val="001000000000" w:firstRow="0" w:lastRow="0" w:firstColumn="1" w:lastColumn="0" w:oddVBand="0" w:evenVBand="0" w:oddHBand="0" w:evenHBand="0" w:firstRowFirstColumn="0" w:firstRowLastColumn="0" w:lastRowFirstColumn="0" w:lastRowLastColumn="0"/>
            <w:tcW w:w="2410" w:type="dxa"/>
          </w:tcPr>
          <w:p w:rsidR="00977F55" w:rsidRPr="00E0309E" w:rsidRDefault="00977F55" w:rsidP="00977F55">
            <w:pPr>
              <w:pStyle w:val="TABLEAUCONTENU"/>
            </w:pPr>
            <w:r w:rsidRPr="00E0309E">
              <w:t>Période de construction</w:t>
            </w:r>
          </w:p>
        </w:tc>
        <w:tc>
          <w:tcPr>
            <w:tcW w:w="6606"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Phase 1 : Q3 2014 / Q3 2016.  Phase 2 : Q2 2016 / Q3 2018.</w:t>
            </w:r>
          </w:p>
        </w:tc>
      </w:tr>
    </w:tbl>
    <w:p w:rsidR="00C90C54" w:rsidRDefault="00C90C54" w:rsidP="00E95C2B">
      <w:pPr>
        <w:widowControl w:val="0"/>
      </w:pPr>
    </w:p>
    <w:tbl>
      <w:tblPr>
        <w:tblStyle w:val="GridTable4-Accent122"/>
        <w:tblW w:w="0" w:type="auto"/>
        <w:tblCellMar>
          <w:top w:w="57" w:type="dxa"/>
          <w:left w:w="57" w:type="dxa"/>
          <w:bottom w:w="57" w:type="dxa"/>
          <w:right w:w="57" w:type="dxa"/>
        </w:tblCellMar>
        <w:tblLook w:val="04A0" w:firstRow="1" w:lastRow="0" w:firstColumn="1" w:lastColumn="0" w:noHBand="0" w:noVBand="1"/>
      </w:tblPr>
      <w:tblGrid>
        <w:gridCol w:w="2405"/>
        <w:gridCol w:w="6611"/>
      </w:tblGrid>
      <w:tr w:rsidR="00E0309E" w:rsidRPr="00E0309E" w:rsidTr="00E030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rsidR="00E0309E" w:rsidRPr="00EF0D9F" w:rsidRDefault="00E0309E" w:rsidP="00EF0D9F">
            <w:pPr>
              <w:pStyle w:val="TABLEAUTETEDECOLONNE"/>
            </w:pPr>
            <w:r w:rsidRPr="00EF0D9F">
              <w:t xml:space="preserve">RIVERVIEW </w:t>
            </w:r>
            <w:r w:rsidR="00B134BE">
              <w:t>–</w:t>
            </w:r>
            <w:r w:rsidRPr="00EF0D9F">
              <w:t xml:space="preserve"> 1</w:t>
            </w:r>
            <w:r w:rsidR="00B134BE">
              <w:t>1.000</w:t>
            </w:r>
            <w:r w:rsidRPr="00EF0D9F">
              <w:t xml:space="preserve"> m² - Nieuport, Belgique</w:t>
            </w:r>
          </w:p>
        </w:tc>
      </w:tr>
      <w:tr w:rsidR="00977F55" w:rsidRPr="00E0309E" w:rsidTr="00E0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77F55" w:rsidRPr="00977F55" w:rsidRDefault="00977F55" w:rsidP="00977F55">
            <w:pPr>
              <w:pStyle w:val="TABLEAUCONTENU"/>
            </w:pPr>
            <w:r w:rsidRPr="00E0309E">
              <w:t xml:space="preserve">Situation au </w:t>
            </w:r>
            <w:r w:rsidRPr="00977F55">
              <w:t>30 juin 2017</w:t>
            </w:r>
          </w:p>
        </w:tc>
        <w:tc>
          <w:tcPr>
            <w:tcW w:w="6611" w:type="dxa"/>
          </w:tcPr>
          <w:p w:rsidR="00977F55" w:rsidRPr="00977F55" w:rsidRDefault="00E52BBE" w:rsidP="00977F55">
            <w:pPr>
              <w:pStyle w:val="TABLEAUCONTENU"/>
              <w:cnfStyle w:val="000000100000" w:firstRow="0" w:lastRow="0" w:firstColumn="0" w:lastColumn="0" w:oddVBand="0" w:evenVBand="0" w:oddHBand="1" w:evenHBand="0" w:firstRowFirstColumn="0" w:firstRowLastColumn="0" w:lastRowFirstColumn="0" w:lastRowLastColumn="0"/>
            </w:pPr>
            <w:r>
              <w:t>77% vendu</w:t>
            </w:r>
          </w:p>
        </w:tc>
      </w:tr>
      <w:tr w:rsidR="00977F55" w:rsidRPr="00E0309E" w:rsidTr="00E0309E">
        <w:tc>
          <w:tcPr>
            <w:cnfStyle w:val="001000000000" w:firstRow="0" w:lastRow="0" w:firstColumn="1" w:lastColumn="0" w:oddVBand="0" w:evenVBand="0" w:oddHBand="0" w:evenHBand="0" w:firstRowFirstColumn="0" w:firstRowLastColumn="0" w:lastRowFirstColumn="0" w:lastRowLastColumn="0"/>
            <w:tcW w:w="2405" w:type="dxa"/>
          </w:tcPr>
          <w:p w:rsidR="00977F55" w:rsidRPr="00E0309E" w:rsidRDefault="00977F55" w:rsidP="00977F55">
            <w:pPr>
              <w:pStyle w:val="TABLEAUCONTENU"/>
            </w:pPr>
            <w:r w:rsidRPr="00E0309E">
              <w:t>Caractéristiques du projet</w:t>
            </w:r>
          </w:p>
        </w:tc>
        <w:tc>
          <w:tcPr>
            <w:tcW w:w="6611"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 xml:space="preserve">À quelques minutes du centre et du front de mer, dans le quartier convoité du nouveau port de plaisance de </w:t>
            </w:r>
            <w:proofErr w:type="spellStart"/>
            <w:r w:rsidRPr="00977F55">
              <w:t>Nieuwpoort</w:t>
            </w:r>
            <w:proofErr w:type="spellEnd"/>
            <w:r w:rsidRPr="00977F55">
              <w:t>, cet ensemble à l’architecture moderne est orienté côté ancien canal Furnes-</w:t>
            </w:r>
            <w:proofErr w:type="spellStart"/>
            <w:r w:rsidRPr="00977F55">
              <w:t>Nieuwpoort</w:t>
            </w:r>
            <w:proofErr w:type="spellEnd"/>
            <w:r w:rsidRPr="00977F55">
              <w:t xml:space="preserve"> (Riverview) ou côté vieille ville (</w:t>
            </w:r>
            <w:proofErr w:type="spellStart"/>
            <w:r w:rsidRPr="00977F55">
              <w:t>Heritage</w:t>
            </w:r>
            <w:proofErr w:type="spellEnd"/>
            <w:r w:rsidRPr="00977F55">
              <w:t xml:space="preserve">). Véritable oasis de lumière, il propose de spacieux appartements et </w:t>
            </w:r>
            <w:proofErr w:type="spellStart"/>
            <w:r w:rsidRPr="00977F55">
              <w:t>penthouses</w:t>
            </w:r>
            <w:proofErr w:type="spellEnd"/>
            <w:r w:rsidRPr="00977F55">
              <w:t xml:space="preserve"> pourvus de terrasses.</w:t>
            </w:r>
          </w:p>
        </w:tc>
      </w:tr>
      <w:tr w:rsidR="00977F55" w:rsidRPr="00E0309E" w:rsidTr="00E0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77F55" w:rsidRPr="00E0309E" w:rsidRDefault="00977F55" w:rsidP="00977F55">
            <w:pPr>
              <w:pStyle w:val="TABLEAUCONTENU"/>
            </w:pPr>
            <w:r w:rsidRPr="00E0309E">
              <w:t>Unités résidentielles</w:t>
            </w:r>
          </w:p>
        </w:tc>
        <w:tc>
          <w:tcPr>
            <w:tcW w:w="6611"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 xml:space="preserve">101 appartements &amp; </w:t>
            </w:r>
            <w:proofErr w:type="spellStart"/>
            <w:r w:rsidRPr="00977F55">
              <w:t>penthouses</w:t>
            </w:r>
            <w:proofErr w:type="spellEnd"/>
          </w:p>
        </w:tc>
      </w:tr>
      <w:tr w:rsidR="00977F55" w:rsidRPr="00E0309E" w:rsidTr="00E0309E">
        <w:tc>
          <w:tcPr>
            <w:cnfStyle w:val="001000000000" w:firstRow="0" w:lastRow="0" w:firstColumn="1" w:lastColumn="0" w:oddVBand="0" w:evenVBand="0" w:oddHBand="0" w:evenHBand="0" w:firstRowFirstColumn="0" w:firstRowLastColumn="0" w:lastRowFirstColumn="0" w:lastRowLastColumn="0"/>
            <w:tcW w:w="2405" w:type="dxa"/>
          </w:tcPr>
          <w:p w:rsidR="00977F55" w:rsidRPr="00E0309E" w:rsidRDefault="00977F55" w:rsidP="00977F55">
            <w:pPr>
              <w:pStyle w:val="TABLEAUCONTENU"/>
            </w:pPr>
            <w:r w:rsidRPr="00E0309E">
              <w:t>Programme</w:t>
            </w:r>
          </w:p>
        </w:tc>
        <w:tc>
          <w:tcPr>
            <w:tcW w:w="6611" w:type="dxa"/>
          </w:tcPr>
          <w:p w:rsidR="00977F55" w:rsidRPr="00977F55" w:rsidRDefault="00E52BBE" w:rsidP="00977F55">
            <w:pPr>
              <w:pStyle w:val="TABLEAUCONTENU"/>
              <w:cnfStyle w:val="000000000000" w:firstRow="0" w:lastRow="0" w:firstColumn="0" w:lastColumn="0" w:oddVBand="0" w:evenVBand="0" w:oddHBand="0" w:evenHBand="0" w:firstRowFirstColumn="0" w:firstRowLastColumn="0" w:lastRowFirstColumn="0" w:lastRowLastColumn="0"/>
            </w:pPr>
            <w:r>
              <w:t>11.000</w:t>
            </w:r>
            <w:r w:rsidR="00977F55" w:rsidRPr="00977F55">
              <w:t xml:space="preserve"> m² d'espaces résidentiels</w:t>
            </w:r>
          </w:p>
        </w:tc>
      </w:tr>
      <w:tr w:rsidR="00977F55" w:rsidRPr="00E0309E" w:rsidTr="00E0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977F55" w:rsidRPr="00E0309E" w:rsidRDefault="00977F55" w:rsidP="00977F55">
            <w:pPr>
              <w:pStyle w:val="TABLEAUCONTENU"/>
            </w:pPr>
            <w:r w:rsidRPr="00E0309E">
              <w:t>Permis obtenus</w:t>
            </w:r>
          </w:p>
        </w:tc>
        <w:tc>
          <w:tcPr>
            <w:tcW w:w="6611"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Permis d’urbanisme : Oui - Permis d’environnement : Oui</w:t>
            </w:r>
          </w:p>
        </w:tc>
      </w:tr>
      <w:tr w:rsidR="00977F55" w:rsidRPr="00E0309E" w:rsidTr="00E0309E">
        <w:tc>
          <w:tcPr>
            <w:cnfStyle w:val="001000000000" w:firstRow="0" w:lastRow="0" w:firstColumn="1" w:lastColumn="0" w:oddVBand="0" w:evenVBand="0" w:oddHBand="0" w:evenHBand="0" w:firstRowFirstColumn="0" w:firstRowLastColumn="0" w:lastRowFirstColumn="0" w:lastRowLastColumn="0"/>
            <w:tcW w:w="2405" w:type="dxa"/>
          </w:tcPr>
          <w:p w:rsidR="00977F55" w:rsidRPr="00E0309E" w:rsidRDefault="00977F55" w:rsidP="00977F55">
            <w:pPr>
              <w:pStyle w:val="TABLEAUCONTENU"/>
            </w:pPr>
            <w:r w:rsidRPr="00E0309E">
              <w:t>Période de construction</w:t>
            </w:r>
          </w:p>
        </w:tc>
        <w:tc>
          <w:tcPr>
            <w:tcW w:w="6611"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Q3 2015 / Q4 2017</w:t>
            </w:r>
          </w:p>
        </w:tc>
      </w:tr>
    </w:tbl>
    <w:p w:rsidR="00DC7EDE" w:rsidRDefault="00DC7EDE" w:rsidP="00E95C2B">
      <w:pPr>
        <w:widowControl w:val="0"/>
      </w:pPr>
    </w:p>
    <w:p w:rsidR="00DC7EDE" w:rsidRDefault="00DC7EDE" w:rsidP="00DC7EDE">
      <w:r>
        <w:br w:type="page"/>
      </w:r>
    </w:p>
    <w:tbl>
      <w:tblPr>
        <w:tblStyle w:val="GridTable4-Accent123"/>
        <w:tblW w:w="0" w:type="auto"/>
        <w:tblCellMar>
          <w:top w:w="57" w:type="dxa"/>
          <w:left w:w="57" w:type="dxa"/>
          <w:bottom w:w="57" w:type="dxa"/>
          <w:right w:w="57" w:type="dxa"/>
        </w:tblCellMar>
        <w:tblLook w:val="04A0" w:firstRow="1" w:lastRow="0" w:firstColumn="1" w:lastColumn="0" w:noHBand="0" w:noVBand="1"/>
      </w:tblPr>
      <w:tblGrid>
        <w:gridCol w:w="2410"/>
        <w:gridCol w:w="6606"/>
      </w:tblGrid>
      <w:tr w:rsidR="00E0309E" w:rsidRPr="00E0309E" w:rsidTr="00E030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rsidR="00E0309E" w:rsidRPr="00EF0D9F" w:rsidRDefault="00E0309E" w:rsidP="00EF0D9F">
            <w:pPr>
              <w:pStyle w:val="TABLEAUTETEDECOLONNE"/>
            </w:pPr>
            <w:r w:rsidRPr="00197CD3">
              <w:rPr>
                <w:caps/>
              </w:rPr>
              <w:lastRenderedPageBreak/>
              <w:t>Royal Louise</w:t>
            </w:r>
            <w:r w:rsidRPr="00EF0D9F">
              <w:t xml:space="preserve"> - 8.</w:t>
            </w:r>
            <w:r w:rsidR="00771FB1">
              <w:t>4</w:t>
            </w:r>
            <w:r w:rsidRPr="00EF0D9F">
              <w:t>00 m² - Bruxelles, Belgique</w:t>
            </w:r>
          </w:p>
        </w:tc>
      </w:tr>
      <w:tr w:rsidR="00977F55" w:rsidRPr="00E0309E" w:rsidTr="00E0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77F55" w:rsidRPr="00977F55" w:rsidRDefault="00977F55" w:rsidP="00977F55">
            <w:pPr>
              <w:pStyle w:val="TABLEAUCONTENU"/>
            </w:pPr>
            <w:r w:rsidRPr="00E0309E">
              <w:t xml:space="preserve">Situation au </w:t>
            </w:r>
            <w:r w:rsidRPr="00977F55">
              <w:t>30 juin 2017</w:t>
            </w:r>
          </w:p>
        </w:tc>
        <w:tc>
          <w:tcPr>
            <w:tcW w:w="6606"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Procédure de demande de permis en cours.</w:t>
            </w:r>
          </w:p>
        </w:tc>
      </w:tr>
      <w:tr w:rsidR="00977F55" w:rsidRPr="00E0309E" w:rsidTr="00E0309E">
        <w:tc>
          <w:tcPr>
            <w:cnfStyle w:val="001000000000" w:firstRow="0" w:lastRow="0" w:firstColumn="1" w:lastColumn="0" w:oddVBand="0" w:evenVBand="0" w:oddHBand="0" w:evenHBand="0" w:firstRowFirstColumn="0" w:firstRowLastColumn="0" w:lastRowFirstColumn="0" w:lastRowLastColumn="0"/>
            <w:tcW w:w="2410" w:type="dxa"/>
          </w:tcPr>
          <w:p w:rsidR="00977F55" w:rsidRPr="00E0309E" w:rsidRDefault="00977F55" w:rsidP="00977F55">
            <w:pPr>
              <w:pStyle w:val="TABLEAUCONTENU"/>
            </w:pPr>
            <w:r w:rsidRPr="00E0309E">
              <w:t>Caractéristiques du projet</w:t>
            </w:r>
          </w:p>
        </w:tc>
        <w:tc>
          <w:tcPr>
            <w:tcW w:w="6606"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A quelques dizaines de mètres de la place Stéphanie, ce complexe résidentiel propose des appartements exclusifs avec terrasse donnant sur un jardin en cœur d’îlot. Sa situation privilégiée, à proximité immédiate des meilleurs restaurants et boutiques bruxellois, offre le meilleur d’un mode de vie urbain.</w:t>
            </w:r>
          </w:p>
        </w:tc>
      </w:tr>
      <w:tr w:rsidR="00977F55" w:rsidRPr="00E0309E" w:rsidTr="00E0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77F55" w:rsidRPr="00E0309E" w:rsidRDefault="00977F55" w:rsidP="00977F55">
            <w:pPr>
              <w:pStyle w:val="TABLEAUCONTENU"/>
            </w:pPr>
            <w:r w:rsidRPr="00E0309E">
              <w:t>Unités résidentielles</w:t>
            </w:r>
          </w:p>
        </w:tc>
        <w:tc>
          <w:tcPr>
            <w:tcW w:w="6606"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77 appartements</w:t>
            </w:r>
          </w:p>
        </w:tc>
      </w:tr>
      <w:tr w:rsidR="00977F55" w:rsidRPr="00E0309E" w:rsidTr="00E0309E">
        <w:tc>
          <w:tcPr>
            <w:cnfStyle w:val="001000000000" w:firstRow="0" w:lastRow="0" w:firstColumn="1" w:lastColumn="0" w:oddVBand="0" w:evenVBand="0" w:oddHBand="0" w:evenHBand="0" w:firstRowFirstColumn="0" w:firstRowLastColumn="0" w:lastRowFirstColumn="0" w:lastRowLastColumn="0"/>
            <w:tcW w:w="2410" w:type="dxa"/>
          </w:tcPr>
          <w:p w:rsidR="00977F55" w:rsidRPr="00E0309E" w:rsidRDefault="00977F55" w:rsidP="00977F55">
            <w:pPr>
              <w:pStyle w:val="TABLEAUCONTENU"/>
            </w:pPr>
            <w:r w:rsidRPr="00E0309E">
              <w:t>Programme</w:t>
            </w:r>
          </w:p>
        </w:tc>
        <w:tc>
          <w:tcPr>
            <w:tcW w:w="6606"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8.000 m² d'espaces résidentiels</w:t>
            </w:r>
          </w:p>
        </w:tc>
      </w:tr>
      <w:tr w:rsidR="00977F55" w:rsidRPr="00E0309E" w:rsidTr="00E0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77F55" w:rsidRPr="00E0309E" w:rsidRDefault="00977F55" w:rsidP="00977F55">
            <w:pPr>
              <w:pStyle w:val="TABLEAUCONTENU"/>
            </w:pPr>
            <w:r w:rsidRPr="00E0309E">
              <w:t>Permis obtenus</w:t>
            </w:r>
          </w:p>
        </w:tc>
        <w:tc>
          <w:tcPr>
            <w:tcW w:w="6606"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Procédure de demande de permis en cours</w:t>
            </w:r>
          </w:p>
        </w:tc>
      </w:tr>
      <w:tr w:rsidR="00977F55" w:rsidRPr="00E0309E" w:rsidTr="00E0309E">
        <w:tc>
          <w:tcPr>
            <w:cnfStyle w:val="001000000000" w:firstRow="0" w:lastRow="0" w:firstColumn="1" w:lastColumn="0" w:oddVBand="0" w:evenVBand="0" w:oddHBand="0" w:evenHBand="0" w:firstRowFirstColumn="0" w:firstRowLastColumn="0" w:lastRowFirstColumn="0" w:lastRowLastColumn="0"/>
            <w:tcW w:w="2410" w:type="dxa"/>
          </w:tcPr>
          <w:p w:rsidR="00977F55" w:rsidRPr="00E0309E" w:rsidRDefault="00977F55" w:rsidP="00977F55">
            <w:pPr>
              <w:pStyle w:val="TABLEAUCONTENU"/>
            </w:pPr>
            <w:r w:rsidRPr="00E0309E">
              <w:t>Période de construction</w:t>
            </w:r>
          </w:p>
        </w:tc>
        <w:tc>
          <w:tcPr>
            <w:tcW w:w="6606"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À confirmer – Après obtention du permis. Q4 2017 / Q4 2019</w:t>
            </w:r>
          </w:p>
        </w:tc>
      </w:tr>
    </w:tbl>
    <w:p w:rsidR="002426E9" w:rsidRDefault="002426E9" w:rsidP="00E95C2B">
      <w:pPr>
        <w:widowControl w:val="0"/>
      </w:pPr>
    </w:p>
    <w:tbl>
      <w:tblPr>
        <w:tblStyle w:val="GridTable4-Accent123"/>
        <w:tblW w:w="0" w:type="auto"/>
        <w:tblCellMar>
          <w:top w:w="57" w:type="dxa"/>
          <w:left w:w="57" w:type="dxa"/>
          <w:bottom w:w="57" w:type="dxa"/>
          <w:right w:w="57" w:type="dxa"/>
        </w:tblCellMar>
        <w:tblLook w:val="04A0" w:firstRow="1" w:lastRow="0" w:firstColumn="1" w:lastColumn="0" w:noHBand="0" w:noVBand="1"/>
      </w:tblPr>
      <w:tblGrid>
        <w:gridCol w:w="2410"/>
        <w:gridCol w:w="6606"/>
      </w:tblGrid>
      <w:tr w:rsidR="00977F55" w:rsidRPr="00E0309E" w:rsidTr="00DF3B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rsidR="00977F55" w:rsidRPr="00977F55" w:rsidRDefault="00977F55" w:rsidP="00977F55">
            <w:pPr>
              <w:pStyle w:val="TABLEAUTETEDECOLONNE"/>
            </w:pPr>
            <w:r w:rsidRPr="00977F55">
              <w:t>FUUSSBANN - 8.147 m² - Differdange, Grand-Duché du Luxembourg (Quote-Part IMMOBEL : 33%)</w:t>
            </w:r>
          </w:p>
        </w:tc>
      </w:tr>
      <w:tr w:rsidR="00977F55" w:rsidRPr="00E0309E" w:rsidTr="00DF3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77F55" w:rsidRPr="00977F55" w:rsidRDefault="00977F55" w:rsidP="00977F55">
            <w:pPr>
              <w:pStyle w:val="TABLEAUCONTENU"/>
            </w:pPr>
            <w:r w:rsidRPr="00E0309E">
              <w:t xml:space="preserve">Situation au </w:t>
            </w:r>
            <w:r w:rsidRPr="00977F55">
              <w:t>30 juin 2017</w:t>
            </w:r>
          </w:p>
        </w:tc>
        <w:tc>
          <w:tcPr>
            <w:tcW w:w="6606"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La construction a démarré en février</w:t>
            </w:r>
          </w:p>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 xml:space="preserve">50 % du bâtiment est </w:t>
            </w:r>
            <w:proofErr w:type="spellStart"/>
            <w:r w:rsidRPr="00977F55">
              <w:t>reservé</w:t>
            </w:r>
            <w:proofErr w:type="spellEnd"/>
          </w:p>
        </w:tc>
      </w:tr>
      <w:tr w:rsidR="00977F55" w:rsidRPr="00E0309E" w:rsidTr="00DF3BC6">
        <w:tc>
          <w:tcPr>
            <w:cnfStyle w:val="001000000000" w:firstRow="0" w:lastRow="0" w:firstColumn="1" w:lastColumn="0" w:oddVBand="0" w:evenVBand="0" w:oddHBand="0" w:evenHBand="0" w:firstRowFirstColumn="0" w:firstRowLastColumn="0" w:lastRowFirstColumn="0" w:lastRowLastColumn="0"/>
            <w:tcW w:w="2410" w:type="dxa"/>
          </w:tcPr>
          <w:p w:rsidR="00977F55" w:rsidRPr="00E0309E" w:rsidRDefault="00977F55" w:rsidP="00977F55">
            <w:pPr>
              <w:pStyle w:val="TABLEAUCONTENU"/>
            </w:pPr>
            <w:r w:rsidRPr="00E0309E">
              <w:t>Caractéristiques du projet</w:t>
            </w:r>
          </w:p>
        </w:tc>
        <w:tc>
          <w:tcPr>
            <w:tcW w:w="6606"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 xml:space="preserve">A deux pas du centre-ville et avec ses commerces de proximité au pied de l’immeuble, la résidence </w:t>
            </w:r>
            <w:proofErr w:type="spellStart"/>
            <w:r w:rsidRPr="00977F55">
              <w:t>Fuussbann</w:t>
            </w:r>
            <w:proofErr w:type="spellEnd"/>
            <w:r w:rsidRPr="00977F55">
              <w:t xml:space="preserve"> bénéficie de toutes les commodités de la vie urbaine sans compromis sur la tranquillité. Résolument contemporaine et baignée de lumière naturelle, </w:t>
            </w:r>
            <w:proofErr w:type="spellStart"/>
            <w:r w:rsidRPr="00977F55">
              <w:t>Fuussbann</w:t>
            </w:r>
            <w:proofErr w:type="spellEnd"/>
            <w:r w:rsidRPr="00977F55">
              <w:t xml:space="preserve"> propose des appartements fonctionnels et optimisés donnant sur de grandes terrasses ou jardins ainsi qu’une cour intérieure paysagée.</w:t>
            </w:r>
          </w:p>
        </w:tc>
      </w:tr>
      <w:tr w:rsidR="00977F55" w:rsidRPr="00E0309E" w:rsidTr="00DF3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77F55" w:rsidRPr="00E0309E" w:rsidRDefault="00977F55" w:rsidP="00977F55">
            <w:pPr>
              <w:pStyle w:val="TABLEAUCONTENU"/>
            </w:pPr>
            <w:r w:rsidRPr="00E0309E">
              <w:t>Unités résidentielles</w:t>
            </w:r>
          </w:p>
        </w:tc>
        <w:tc>
          <w:tcPr>
            <w:tcW w:w="6606"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48 appartements</w:t>
            </w:r>
          </w:p>
        </w:tc>
      </w:tr>
      <w:tr w:rsidR="00977F55" w:rsidRPr="00E0309E" w:rsidTr="00DF3BC6">
        <w:tc>
          <w:tcPr>
            <w:cnfStyle w:val="001000000000" w:firstRow="0" w:lastRow="0" w:firstColumn="1" w:lastColumn="0" w:oddVBand="0" w:evenVBand="0" w:oddHBand="0" w:evenHBand="0" w:firstRowFirstColumn="0" w:firstRowLastColumn="0" w:lastRowFirstColumn="0" w:lastRowLastColumn="0"/>
            <w:tcW w:w="2410" w:type="dxa"/>
          </w:tcPr>
          <w:p w:rsidR="00977F55" w:rsidRPr="00E0309E" w:rsidRDefault="00977F55" w:rsidP="00977F55">
            <w:pPr>
              <w:pStyle w:val="TABLEAUCONTENU"/>
            </w:pPr>
            <w:r w:rsidRPr="00E0309E">
              <w:t>Programme</w:t>
            </w:r>
          </w:p>
        </w:tc>
        <w:tc>
          <w:tcPr>
            <w:tcW w:w="6606"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5.906 m² d’espaces résidentiels,2.241 m² d'espaces commerciaux.</w:t>
            </w:r>
          </w:p>
        </w:tc>
      </w:tr>
      <w:tr w:rsidR="00977F55" w:rsidRPr="00E0309E" w:rsidTr="00DF3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77F55" w:rsidRPr="00E0309E" w:rsidRDefault="00977F55" w:rsidP="00977F55">
            <w:pPr>
              <w:pStyle w:val="TABLEAUCONTENU"/>
            </w:pPr>
            <w:r w:rsidRPr="00E0309E">
              <w:t>Permis obtenus</w:t>
            </w:r>
          </w:p>
        </w:tc>
        <w:tc>
          <w:tcPr>
            <w:tcW w:w="6606"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Autorisation de bâtir datée du 5 octobre 2016</w:t>
            </w:r>
          </w:p>
        </w:tc>
      </w:tr>
      <w:tr w:rsidR="00977F55" w:rsidRPr="00E0309E" w:rsidTr="00E60F58">
        <w:trPr>
          <w:trHeight w:val="147"/>
        </w:trPr>
        <w:tc>
          <w:tcPr>
            <w:cnfStyle w:val="001000000000" w:firstRow="0" w:lastRow="0" w:firstColumn="1" w:lastColumn="0" w:oddVBand="0" w:evenVBand="0" w:oddHBand="0" w:evenHBand="0" w:firstRowFirstColumn="0" w:firstRowLastColumn="0" w:lastRowFirstColumn="0" w:lastRowLastColumn="0"/>
            <w:tcW w:w="2410" w:type="dxa"/>
          </w:tcPr>
          <w:p w:rsidR="00977F55" w:rsidRPr="00E0309E" w:rsidRDefault="00977F55" w:rsidP="00977F55">
            <w:pPr>
              <w:pStyle w:val="TABLEAUCONTENU"/>
            </w:pPr>
            <w:r w:rsidRPr="00E0309E">
              <w:t>Période de construction</w:t>
            </w:r>
          </w:p>
        </w:tc>
        <w:tc>
          <w:tcPr>
            <w:tcW w:w="6606"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Q1 2017 / Q2 2019</w:t>
            </w:r>
          </w:p>
        </w:tc>
      </w:tr>
    </w:tbl>
    <w:p w:rsidR="00ED709C" w:rsidRDefault="00ED709C" w:rsidP="00E95C2B">
      <w:pPr>
        <w:widowControl w:val="0"/>
      </w:pPr>
    </w:p>
    <w:tbl>
      <w:tblPr>
        <w:tblStyle w:val="GridTable4-Accent124"/>
        <w:tblW w:w="0" w:type="auto"/>
        <w:tblCellMar>
          <w:top w:w="57" w:type="dxa"/>
          <w:left w:w="57" w:type="dxa"/>
          <w:bottom w:w="57" w:type="dxa"/>
          <w:right w:w="57" w:type="dxa"/>
        </w:tblCellMar>
        <w:tblLook w:val="04A0" w:firstRow="1" w:lastRow="0" w:firstColumn="1" w:lastColumn="0" w:noHBand="0" w:noVBand="1"/>
      </w:tblPr>
      <w:tblGrid>
        <w:gridCol w:w="2410"/>
        <w:gridCol w:w="6606"/>
      </w:tblGrid>
      <w:tr w:rsidR="00E0309E" w:rsidRPr="00E0309E" w:rsidTr="00E030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rsidR="00E0309E" w:rsidRPr="00EF0D9F" w:rsidRDefault="00E0309E" w:rsidP="00EF0D9F">
            <w:pPr>
              <w:pStyle w:val="TABLEAUTETEDECOLONNE"/>
            </w:pPr>
            <w:r w:rsidRPr="00197CD3">
              <w:rPr>
                <w:caps/>
              </w:rPr>
              <w:t>Greenhill Park</w:t>
            </w:r>
            <w:r w:rsidRPr="00EF0D9F">
              <w:t xml:space="preserve"> - 6.000 m² - Bruxelles, Belgique</w:t>
            </w:r>
          </w:p>
        </w:tc>
      </w:tr>
      <w:tr w:rsidR="00977F55" w:rsidRPr="00E0309E" w:rsidTr="00E0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77F55" w:rsidRPr="00977F55" w:rsidRDefault="00977F55" w:rsidP="00977F55">
            <w:pPr>
              <w:pStyle w:val="TABLEAUCONTENU"/>
            </w:pPr>
            <w:r w:rsidRPr="00E0309E">
              <w:t>Situation au 3</w:t>
            </w:r>
            <w:r w:rsidRPr="00977F55">
              <w:t>0 juin 2017</w:t>
            </w:r>
          </w:p>
        </w:tc>
        <w:tc>
          <w:tcPr>
            <w:tcW w:w="6606"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 xml:space="preserve">Permis purgé de tous recours obtenu ; début des travaux dès </w:t>
            </w:r>
            <w:r w:rsidR="00E52BBE">
              <w:t>septembre</w:t>
            </w:r>
            <w:r w:rsidR="00372A02">
              <w:t xml:space="preserve"> 2017 -</w:t>
            </w:r>
            <w:r w:rsidRPr="00977F55">
              <w:t xml:space="preserve"> </w:t>
            </w:r>
            <w:r w:rsidR="00E52BBE">
              <w:t>32</w:t>
            </w:r>
            <w:r w:rsidRPr="00977F55">
              <w:t>% de vendu</w:t>
            </w:r>
          </w:p>
        </w:tc>
      </w:tr>
      <w:tr w:rsidR="00977F55" w:rsidRPr="00E0309E" w:rsidTr="00E0309E">
        <w:tc>
          <w:tcPr>
            <w:cnfStyle w:val="001000000000" w:firstRow="0" w:lastRow="0" w:firstColumn="1" w:lastColumn="0" w:oddVBand="0" w:evenVBand="0" w:oddHBand="0" w:evenHBand="0" w:firstRowFirstColumn="0" w:firstRowLastColumn="0" w:lastRowFirstColumn="0" w:lastRowLastColumn="0"/>
            <w:tcW w:w="2410" w:type="dxa"/>
          </w:tcPr>
          <w:p w:rsidR="00977F55" w:rsidRPr="00E0309E" w:rsidRDefault="00977F55" w:rsidP="00977F55">
            <w:pPr>
              <w:pStyle w:val="TABLEAUCONTENU"/>
            </w:pPr>
            <w:r w:rsidRPr="00E0309E">
              <w:t>Caractéristiques du projet</w:t>
            </w:r>
          </w:p>
        </w:tc>
        <w:tc>
          <w:tcPr>
            <w:tcW w:w="6606"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Niché au cœur d’un site arboré en lisière du parc de Woluwe, ce complexe de luxe se compose de deux élégants bâtiments à l’architecture intemporelle. Les logements, très haut de gamme, offrent une vue dégagée sur le jardin et bénéficient de services résidentiels complets.</w:t>
            </w:r>
          </w:p>
        </w:tc>
      </w:tr>
      <w:tr w:rsidR="00977F55" w:rsidRPr="00E0309E" w:rsidTr="00E0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77F55" w:rsidRPr="00E0309E" w:rsidRDefault="00977F55" w:rsidP="00977F55">
            <w:pPr>
              <w:pStyle w:val="TABLEAUCONTENU"/>
            </w:pPr>
            <w:r w:rsidRPr="00E0309E">
              <w:t>Unités résidentielles</w:t>
            </w:r>
          </w:p>
        </w:tc>
        <w:tc>
          <w:tcPr>
            <w:tcW w:w="6606"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 xml:space="preserve">31 appartements ou </w:t>
            </w:r>
            <w:proofErr w:type="spellStart"/>
            <w:r w:rsidRPr="00977F55">
              <w:t>penthouses</w:t>
            </w:r>
            <w:proofErr w:type="spellEnd"/>
          </w:p>
        </w:tc>
      </w:tr>
      <w:tr w:rsidR="00977F55" w:rsidRPr="00E0309E" w:rsidTr="00E0309E">
        <w:tc>
          <w:tcPr>
            <w:cnfStyle w:val="001000000000" w:firstRow="0" w:lastRow="0" w:firstColumn="1" w:lastColumn="0" w:oddVBand="0" w:evenVBand="0" w:oddHBand="0" w:evenHBand="0" w:firstRowFirstColumn="0" w:firstRowLastColumn="0" w:lastRowFirstColumn="0" w:lastRowLastColumn="0"/>
            <w:tcW w:w="2410" w:type="dxa"/>
          </w:tcPr>
          <w:p w:rsidR="00977F55" w:rsidRPr="00E0309E" w:rsidRDefault="00977F55" w:rsidP="00977F55">
            <w:pPr>
              <w:pStyle w:val="TABLEAUCONTENU"/>
            </w:pPr>
            <w:r w:rsidRPr="00E0309E">
              <w:t>Programme</w:t>
            </w:r>
          </w:p>
        </w:tc>
        <w:tc>
          <w:tcPr>
            <w:tcW w:w="6606"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6.000 m² d'espaces résidentiels</w:t>
            </w:r>
          </w:p>
        </w:tc>
      </w:tr>
      <w:tr w:rsidR="00977F55" w:rsidRPr="00E0309E" w:rsidTr="00E0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77F55" w:rsidRPr="00E0309E" w:rsidRDefault="00977F55" w:rsidP="00977F55">
            <w:pPr>
              <w:pStyle w:val="TABLEAUCONTENU"/>
            </w:pPr>
            <w:r w:rsidRPr="00E0309E">
              <w:t>Permis obtenus</w:t>
            </w:r>
          </w:p>
        </w:tc>
        <w:tc>
          <w:tcPr>
            <w:tcW w:w="6606" w:type="dxa"/>
          </w:tcPr>
          <w:p w:rsidR="00977F55" w:rsidRPr="00977F55" w:rsidRDefault="00977F55" w:rsidP="00977F55">
            <w:pPr>
              <w:pStyle w:val="TABLEAUCONTENU"/>
              <w:cnfStyle w:val="000000100000" w:firstRow="0" w:lastRow="0" w:firstColumn="0" w:lastColumn="0" w:oddVBand="0" w:evenVBand="0" w:oddHBand="1" w:evenHBand="0" w:firstRowFirstColumn="0" w:firstRowLastColumn="0" w:lastRowFirstColumn="0" w:lastRowLastColumn="0"/>
            </w:pPr>
            <w:r w:rsidRPr="00977F55">
              <w:t>Permis d’urbanisme : Oui - Permis d’environnement : Oui</w:t>
            </w:r>
          </w:p>
        </w:tc>
      </w:tr>
      <w:tr w:rsidR="00977F55" w:rsidRPr="00E0309E" w:rsidTr="00E0309E">
        <w:tc>
          <w:tcPr>
            <w:cnfStyle w:val="001000000000" w:firstRow="0" w:lastRow="0" w:firstColumn="1" w:lastColumn="0" w:oddVBand="0" w:evenVBand="0" w:oddHBand="0" w:evenHBand="0" w:firstRowFirstColumn="0" w:firstRowLastColumn="0" w:lastRowFirstColumn="0" w:lastRowLastColumn="0"/>
            <w:tcW w:w="2410" w:type="dxa"/>
          </w:tcPr>
          <w:p w:rsidR="00977F55" w:rsidRPr="00E0309E" w:rsidRDefault="00977F55" w:rsidP="00977F55">
            <w:pPr>
              <w:pStyle w:val="TABLEAUCONTENU"/>
            </w:pPr>
            <w:r w:rsidRPr="00E0309E">
              <w:t>Période de construction</w:t>
            </w:r>
          </w:p>
        </w:tc>
        <w:tc>
          <w:tcPr>
            <w:tcW w:w="6606" w:type="dxa"/>
          </w:tcPr>
          <w:p w:rsidR="00977F55" w:rsidRPr="00977F55" w:rsidRDefault="00977F55" w:rsidP="00977F55">
            <w:pPr>
              <w:pStyle w:val="TABLEAUCONTENU"/>
              <w:cnfStyle w:val="000000000000" w:firstRow="0" w:lastRow="0" w:firstColumn="0" w:lastColumn="0" w:oddVBand="0" w:evenVBand="0" w:oddHBand="0" w:evenHBand="0" w:firstRowFirstColumn="0" w:firstRowLastColumn="0" w:lastRowFirstColumn="0" w:lastRowLastColumn="0"/>
            </w:pPr>
            <w:r w:rsidRPr="00977F55">
              <w:t>Q3 2017 / Q3 2019</w:t>
            </w:r>
          </w:p>
        </w:tc>
      </w:tr>
    </w:tbl>
    <w:p w:rsidR="00DC7EDE" w:rsidRDefault="00DC7EDE" w:rsidP="00E95C2B">
      <w:pPr>
        <w:widowControl w:val="0"/>
      </w:pPr>
    </w:p>
    <w:p w:rsidR="00DC7EDE" w:rsidRDefault="00DC7EDE" w:rsidP="00DC7EDE">
      <w:r>
        <w:br w:type="page"/>
      </w:r>
    </w:p>
    <w:tbl>
      <w:tblPr>
        <w:tblStyle w:val="GridTable4-Accent125"/>
        <w:tblW w:w="0" w:type="auto"/>
        <w:tblCellMar>
          <w:top w:w="57" w:type="dxa"/>
          <w:left w:w="57" w:type="dxa"/>
          <w:bottom w:w="57" w:type="dxa"/>
          <w:right w:w="57" w:type="dxa"/>
        </w:tblCellMar>
        <w:tblLook w:val="04A0" w:firstRow="1" w:lastRow="0" w:firstColumn="1" w:lastColumn="0" w:noHBand="0" w:noVBand="1"/>
      </w:tblPr>
      <w:tblGrid>
        <w:gridCol w:w="2410"/>
        <w:gridCol w:w="6606"/>
      </w:tblGrid>
      <w:tr w:rsidR="00E0309E" w:rsidRPr="00E0309E" w:rsidTr="00E030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rsidR="00E0309E" w:rsidRPr="00EF0D9F" w:rsidRDefault="00E52BBE" w:rsidP="00EF0D9F">
            <w:pPr>
              <w:pStyle w:val="TABLEAUTETEDECOLONNE"/>
            </w:pPr>
            <w:bookmarkStart w:id="7" w:name="_Hlk486853509"/>
            <w:r>
              <w:rPr>
                <w:caps/>
              </w:rPr>
              <w:lastRenderedPageBreak/>
              <w:t xml:space="preserve">Chien </w:t>
            </w:r>
            <w:r w:rsidR="00E0309E" w:rsidRPr="00197CD3">
              <w:rPr>
                <w:caps/>
              </w:rPr>
              <w:t>Vert</w:t>
            </w:r>
            <w:r w:rsidR="00E0309E" w:rsidRPr="00EF0D9F">
              <w:t xml:space="preserve"> - 5.000 m² - Bruxelles, Belgique</w:t>
            </w:r>
          </w:p>
        </w:tc>
      </w:tr>
      <w:tr w:rsidR="00F376B8" w:rsidRPr="00E0309E" w:rsidTr="00E0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F376B8" w:rsidRPr="00F376B8" w:rsidRDefault="00F376B8" w:rsidP="00F376B8">
            <w:pPr>
              <w:pStyle w:val="TABLEAUCONTENU"/>
            </w:pPr>
            <w:r w:rsidRPr="00E0309E">
              <w:t>Situation au 3</w:t>
            </w:r>
            <w:r w:rsidRPr="00F376B8">
              <w:t>0 juin 2017</w:t>
            </w:r>
          </w:p>
        </w:tc>
        <w:tc>
          <w:tcPr>
            <w:tcW w:w="6606" w:type="dxa"/>
          </w:tcPr>
          <w:p w:rsidR="00F376B8" w:rsidRPr="00F376B8" w:rsidRDefault="00F376B8" w:rsidP="00F376B8">
            <w:pPr>
              <w:pStyle w:val="TABLEAUCONTENU"/>
              <w:cnfStyle w:val="000000100000" w:firstRow="0" w:lastRow="0" w:firstColumn="0" w:lastColumn="0" w:oddVBand="0" w:evenVBand="0" w:oddHBand="1" w:evenHBand="0" w:firstRowFirstColumn="0" w:firstRowLastColumn="0" w:lastRowFirstColumn="0" w:lastRowLastColumn="0"/>
            </w:pPr>
            <w:r w:rsidRPr="00F376B8">
              <w:t>Permis définitif, vente en bloc à un tiers promoteur</w:t>
            </w:r>
          </w:p>
        </w:tc>
      </w:tr>
      <w:tr w:rsidR="00F376B8" w:rsidRPr="00E0309E" w:rsidTr="00E0309E">
        <w:tc>
          <w:tcPr>
            <w:cnfStyle w:val="001000000000" w:firstRow="0" w:lastRow="0" w:firstColumn="1" w:lastColumn="0" w:oddVBand="0" w:evenVBand="0" w:oddHBand="0" w:evenHBand="0" w:firstRowFirstColumn="0" w:firstRowLastColumn="0" w:lastRowFirstColumn="0" w:lastRowLastColumn="0"/>
            <w:tcW w:w="2410" w:type="dxa"/>
          </w:tcPr>
          <w:p w:rsidR="00F376B8" w:rsidRPr="00E0309E" w:rsidRDefault="00F376B8" w:rsidP="00F376B8">
            <w:pPr>
              <w:pStyle w:val="TABLEAUCONTENU"/>
            </w:pPr>
            <w:r w:rsidRPr="00E0309E">
              <w:t>Caractéristiques du projet</w:t>
            </w:r>
          </w:p>
        </w:tc>
        <w:tc>
          <w:tcPr>
            <w:tcW w:w="6606" w:type="dxa"/>
          </w:tcPr>
          <w:p w:rsidR="00F376B8" w:rsidRPr="00F376B8" w:rsidRDefault="00F376B8" w:rsidP="00F376B8">
            <w:pPr>
              <w:pStyle w:val="TABLEAUCONTENU"/>
              <w:cnfStyle w:val="000000000000" w:firstRow="0" w:lastRow="0" w:firstColumn="0" w:lastColumn="0" w:oddVBand="0" w:evenVBand="0" w:oddHBand="0" w:evenHBand="0" w:firstRowFirstColumn="0" w:firstRowLastColumn="0" w:lastRowFirstColumn="0" w:lastRowLastColumn="0"/>
            </w:pPr>
            <w:r w:rsidRPr="00F376B8">
              <w:t>Situé en face du parc de Woluwe, le projet prévoit de réhabiliter un immeuble de bureaux de la fin des années 80 en appartements contemporains aux finitions soignées. Très bien desservi en moyens de transports et de communication, il vise à offrir une excellente qualité de vie dans un environnement très vert.</w:t>
            </w:r>
          </w:p>
        </w:tc>
      </w:tr>
      <w:tr w:rsidR="00F376B8" w:rsidRPr="00E0309E" w:rsidTr="00E0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F376B8" w:rsidRPr="00E0309E" w:rsidRDefault="00F376B8" w:rsidP="00F376B8">
            <w:pPr>
              <w:pStyle w:val="TABLEAUCONTENU"/>
            </w:pPr>
            <w:r w:rsidRPr="00E0309E">
              <w:t>Unités résidentielles</w:t>
            </w:r>
          </w:p>
        </w:tc>
        <w:tc>
          <w:tcPr>
            <w:tcW w:w="6606" w:type="dxa"/>
          </w:tcPr>
          <w:p w:rsidR="00F376B8" w:rsidRPr="00F376B8" w:rsidRDefault="00F376B8" w:rsidP="00F376B8">
            <w:pPr>
              <w:pStyle w:val="TABLEAUCONTENU"/>
              <w:cnfStyle w:val="000000100000" w:firstRow="0" w:lastRow="0" w:firstColumn="0" w:lastColumn="0" w:oddVBand="0" w:evenVBand="0" w:oddHBand="1" w:evenHBand="0" w:firstRowFirstColumn="0" w:firstRowLastColumn="0" w:lastRowFirstColumn="0" w:lastRowLastColumn="0"/>
            </w:pPr>
            <w:r w:rsidRPr="00F376B8">
              <w:t>44</w:t>
            </w:r>
          </w:p>
        </w:tc>
      </w:tr>
      <w:tr w:rsidR="00F376B8" w:rsidRPr="00E0309E" w:rsidTr="00E0309E">
        <w:tc>
          <w:tcPr>
            <w:cnfStyle w:val="001000000000" w:firstRow="0" w:lastRow="0" w:firstColumn="1" w:lastColumn="0" w:oddVBand="0" w:evenVBand="0" w:oddHBand="0" w:evenHBand="0" w:firstRowFirstColumn="0" w:firstRowLastColumn="0" w:lastRowFirstColumn="0" w:lastRowLastColumn="0"/>
            <w:tcW w:w="2410" w:type="dxa"/>
          </w:tcPr>
          <w:p w:rsidR="00F376B8" w:rsidRPr="00E0309E" w:rsidRDefault="00F376B8" w:rsidP="00F376B8">
            <w:pPr>
              <w:pStyle w:val="TABLEAUCONTENU"/>
            </w:pPr>
            <w:r w:rsidRPr="00E0309E">
              <w:t>Programme</w:t>
            </w:r>
          </w:p>
        </w:tc>
        <w:tc>
          <w:tcPr>
            <w:tcW w:w="6606" w:type="dxa"/>
          </w:tcPr>
          <w:p w:rsidR="00F376B8" w:rsidRPr="00F376B8" w:rsidRDefault="00F376B8" w:rsidP="00F376B8">
            <w:pPr>
              <w:pStyle w:val="TABLEAUCONTENU"/>
              <w:cnfStyle w:val="000000000000" w:firstRow="0" w:lastRow="0" w:firstColumn="0" w:lastColumn="0" w:oddVBand="0" w:evenVBand="0" w:oddHBand="0" w:evenHBand="0" w:firstRowFirstColumn="0" w:firstRowLastColumn="0" w:lastRowFirstColumn="0" w:lastRowLastColumn="0"/>
            </w:pPr>
            <w:r w:rsidRPr="00F376B8">
              <w:t>44 appartements, 1 unité de bureaux et 1 agence bancaire louée à KBC Bank</w:t>
            </w:r>
          </w:p>
        </w:tc>
      </w:tr>
      <w:tr w:rsidR="00F376B8" w:rsidRPr="00E0309E" w:rsidTr="00E0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F376B8" w:rsidRPr="00E0309E" w:rsidRDefault="00F376B8" w:rsidP="00F376B8">
            <w:pPr>
              <w:pStyle w:val="TABLEAUCONTENU"/>
            </w:pPr>
            <w:r w:rsidRPr="00E0309E">
              <w:t>Permis obtenus</w:t>
            </w:r>
          </w:p>
        </w:tc>
        <w:tc>
          <w:tcPr>
            <w:tcW w:w="6606" w:type="dxa"/>
          </w:tcPr>
          <w:p w:rsidR="00F376B8" w:rsidRPr="00F376B8" w:rsidRDefault="00F376B8" w:rsidP="00F376B8">
            <w:pPr>
              <w:pStyle w:val="TABLEAUCONTENU"/>
              <w:cnfStyle w:val="000000100000" w:firstRow="0" w:lastRow="0" w:firstColumn="0" w:lastColumn="0" w:oddVBand="0" w:evenVBand="0" w:oddHBand="1" w:evenHBand="0" w:firstRowFirstColumn="0" w:firstRowLastColumn="0" w:lastRowFirstColumn="0" w:lastRowLastColumn="0"/>
            </w:pPr>
            <w:r w:rsidRPr="00F376B8">
              <w:t>Permis d’urbanisme : Oui - Permis d’environnement : Oui</w:t>
            </w:r>
          </w:p>
        </w:tc>
      </w:tr>
      <w:tr w:rsidR="00F376B8" w:rsidRPr="00E0309E" w:rsidTr="00E0309E">
        <w:tc>
          <w:tcPr>
            <w:cnfStyle w:val="001000000000" w:firstRow="0" w:lastRow="0" w:firstColumn="1" w:lastColumn="0" w:oddVBand="0" w:evenVBand="0" w:oddHBand="0" w:evenHBand="0" w:firstRowFirstColumn="0" w:firstRowLastColumn="0" w:lastRowFirstColumn="0" w:lastRowLastColumn="0"/>
            <w:tcW w:w="2410" w:type="dxa"/>
          </w:tcPr>
          <w:p w:rsidR="00F376B8" w:rsidRPr="00E0309E" w:rsidRDefault="00F376B8" w:rsidP="00F376B8">
            <w:pPr>
              <w:pStyle w:val="TABLEAUCONTENU"/>
            </w:pPr>
            <w:r w:rsidRPr="00E0309E">
              <w:t>Période de construction</w:t>
            </w:r>
          </w:p>
        </w:tc>
        <w:tc>
          <w:tcPr>
            <w:tcW w:w="6606" w:type="dxa"/>
          </w:tcPr>
          <w:p w:rsidR="00F376B8" w:rsidRPr="00F376B8" w:rsidRDefault="00F376B8" w:rsidP="00F376B8">
            <w:pPr>
              <w:pStyle w:val="TABLEAUCONTENU"/>
              <w:cnfStyle w:val="000000000000" w:firstRow="0" w:lastRow="0" w:firstColumn="0" w:lastColumn="0" w:oddVBand="0" w:evenVBand="0" w:oddHBand="0" w:evenHBand="0" w:firstRowFirstColumn="0" w:firstRowLastColumn="0" w:lastRowFirstColumn="0" w:lastRowLastColumn="0"/>
            </w:pPr>
            <w:r w:rsidRPr="00F376B8">
              <w:t>Projet en phase de vente en bloc – La construction sera redémarrée par l’acquéreur.</w:t>
            </w:r>
          </w:p>
        </w:tc>
      </w:tr>
      <w:bookmarkEnd w:id="7"/>
    </w:tbl>
    <w:p w:rsidR="002426E9" w:rsidRDefault="002426E9" w:rsidP="00E95C2B">
      <w:pPr>
        <w:widowControl w:val="0"/>
      </w:pPr>
    </w:p>
    <w:tbl>
      <w:tblPr>
        <w:tblStyle w:val="GridTable4-Accent125"/>
        <w:tblW w:w="0" w:type="auto"/>
        <w:tblCellMar>
          <w:top w:w="57" w:type="dxa"/>
          <w:left w:w="57" w:type="dxa"/>
          <w:bottom w:w="57" w:type="dxa"/>
          <w:right w:w="57" w:type="dxa"/>
        </w:tblCellMar>
        <w:tblLook w:val="04A0" w:firstRow="1" w:lastRow="0" w:firstColumn="1" w:lastColumn="0" w:noHBand="0" w:noVBand="1"/>
      </w:tblPr>
      <w:tblGrid>
        <w:gridCol w:w="2410"/>
        <w:gridCol w:w="6606"/>
      </w:tblGrid>
      <w:tr w:rsidR="00771FB1" w:rsidRPr="00E0309E" w:rsidTr="00C90C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rsidR="00771FB1" w:rsidRPr="00EF0D9F" w:rsidRDefault="00771FB1" w:rsidP="00C90C54">
            <w:pPr>
              <w:pStyle w:val="TABLEAUTETEDECOLONNE"/>
            </w:pPr>
            <w:r>
              <w:rPr>
                <w:caps/>
              </w:rPr>
              <w:t>T’ZOUT -</w:t>
            </w:r>
            <w:r w:rsidRPr="00EF0D9F">
              <w:t xml:space="preserve"> </w:t>
            </w:r>
            <w:r>
              <w:t>4.7</w:t>
            </w:r>
            <w:r w:rsidRPr="00EF0D9F">
              <w:t xml:space="preserve">00 m² - </w:t>
            </w:r>
            <w:proofErr w:type="spellStart"/>
            <w:r w:rsidR="00C90C54">
              <w:t>C</w:t>
            </w:r>
            <w:r>
              <w:t>oxyde</w:t>
            </w:r>
            <w:proofErr w:type="spellEnd"/>
            <w:r w:rsidRPr="00EF0D9F">
              <w:t>, Belgique</w:t>
            </w:r>
          </w:p>
        </w:tc>
      </w:tr>
      <w:tr w:rsidR="00F376B8" w:rsidRPr="00E0309E" w:rsidTr="00C90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F376B8" w:rsidRPr="00F376B8" w:rsidRDefault="00F376B8" w:rsidP="00F376B8">
            <w:pPr>
              <w:pStyle w:val="TABLEAUCONTENU"/>
            </w:pPr>
            <w:r>
              <w:t>Situation au 30 juin 2017</w:t>
            </w:r>
          </w:p>
        </w:tc>
        <w:tc>
          <w:tcPr>
            <w:tcW w:w="6606" w:type="dxa"/>
          </w:tcPr>
          <w:p w:rsidR="00F376B8" w:rsidRPr="00F376B8" w:rsidRDefault="00F376B8" w:rsidP="00F376B8">
            <w:pPr>
              <w:pStyle w:val="TABLEAUCONTENU"/>
              <w:cnfStyle w:val="000000100000" w:firstRow="0" w:lastRow="0" w:firstColumn="0" w:lastColumn="0" w:oddVBand="0" w:evenVBand="0" w:oddHBand="1" w:evenHBand="0" w:firstRowFirstColumn="0" w:firstRowLastColumn="0" w:lastRowFirstColumn="0" w:lastRowLastColumn="0"/>
            </w:pPr>
            <w:r w:rsidRPr="00F376B8">
              <w:t xml:space="preserve">Permis obtenu ; début des travaux Q3 2017 ; lancement commercial </w:t>
            </w:r>
            <w:r w:rsidR="00E52BBE">
              <w:t>août</w:t>
            </w:r>
            <w:r w:rsidRPr="00F376B8">
              <w:t xml:space="preserve"> 2017</w:t>
            </w:r>
          </w:p>
        </w:tc>
      </w:tr>
      <w:tr w:rsidR="00F376B8" w:rsidRPr="00E0309E" w:rsidTr="00C90C54">
        <w:tc>
          <w:tcPr>
            <w:cnfStyle w:val="001000000000" w:firstRow="0" w:lastRow="0" w:firstColumn="1" w:lastColumn="0" w:oddVBand="0" w:evenVBand="0" w:oddHBand="0" w:evenHBand="0" w:firstRowFirstColumn="0" w:firstRowLastColumn="0" w:lastRowFirstColumn="0" w:lastRowLastColumn="0"/>
            <w:tcW w:w="2410" w:type="dxa"/>
          </w:tcPr>
          <w:p w:rsidR="00F376B8" w:rsidRPr="00E0309E" w:rsidRDefault="00F376B8" w:rsidP="00F376B8">
            <w:pPr>
              <w:pStyle w:val="TABLEAUCONTENU"/>
            </w:pPr>
            <w:r w:rsidRPr="00E0309E">
              <w:t>Caractéristiques du projet</w:t>
            </w:r>
          </w:p>
        </w:tc>
        <w:tc>
          <w:tcPr>
            <w:tcW w:w="6606" w:type="dxa"/>
          </w:tcPr>
          <w:p w:rsidR="00F376B8" w:rsidRPr="00F376B8" w:rsidRDefault="00F376B8" w:rsidP="00F376B8">
            <w:pPr>
              <w:pStyle w:val="TABLEAUCONTENU"/>
              <w:cnfStyle w:val="000000000000" w:firstRow="0" w:lastRow="0" w:firstColumn="0" w:lastColumn="0" w:oddVBand="0" w:evenVBand="0" w:oddHBand="0" w:evenHBand="0" w:firstRowFirstColumn="0" w:firstRowLastColumn="0" w:lastRowFirstColumn="0" w:lastRowLastColumn="0"/>
            </w:pPr>
            <w:r w:rsidRPr="00F376B8">
              <w:t xml:space="preserve">Le projet 't </w:t>
            </w:r>
            <w:proofErr w:type="spellStart"/>
            <w:r w:rsidRPr="00F376B8">
              <w:t>Zout</w:t>
            </w:r>
            <w:proofErr w:type="spellEnd"/>
            <w:r w:rsidRPr="00F376B8">
              <w:t xml:space="preserve"> est un complexe résidentiel unique d'appartements-services situé à </w:t>
            </w:r>
            <w:proofErr w:type="spellStart"/>
            <w:r w:rsidRPr="00F376B8">
              <w:t>Coxyde</w:t>
            </w:r>
            <w:proofErr w:type="spellEnd"/>
            <w:r w:rsidRPr="00F376B8">
              <w:t xml:space="preserve"> (Saint-</w:t>
            </w:r>
            <w:proofErr w:type="spellStart"/>
            <w:r w:rsidRPr="00F376B8">
              <w:t>Idesbald</w:t>
            </w:r>
            <w:proofErr w:type="spellEnd"/>
            <w:r w:rsidRPr="00F376B8">
              <w:t>), entre le magnifique centre du bourg et la mer. Ce projet à taille humaine propose un mode de vie agréable et facile dans cette cité balnéaire belge très attractive.</w:t>
            </w:r>
          </w:p>
        </w:tc>
      </w:tr>
      <w:tr w:rsidR="00F376B8" w:rsidRPr="00E0309E" w:rsidTr="00C90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F376B8" w:rsidRPr="00E0309E" w:rsidRDefault="00F376B8" w:rsidP="00F376B8">
            <w:pPr>
              <w:pStyle w:val="TABLEAUCONTENU"/>
            </w:pPr>
            <w:r w:rsidRPr="00E0309E">
              <w:t>Unités résidentielles</w:t>
            </w:r>
          </w:p>
        </w:tc>
        <w:tc>
          <w:tcPr>
            <w:tcW w:w="6606" w:type="dxa"/>
          </w:tcPr>
          <w:p w:rsidR="00F376B8" w:rsidRPr="00F376B8" w:rsidRDefault="00F376B8" w:rsidP="00F376B8">
            <w:pPr>
              <w:pStyle w:val="TABLEAUCONTENU"/>
              <w:cnfStyle w:val="000000100000" w:firstRow="0" w:lastRow="0" w:firstColumn="0" w:lastColumn="0" w:oddVBand="0" w:evenVBand="0" w:oddHBand="1" w:evenHBand="0" w:firstRowFirstColumn="0" w:firstRowLastColumn="0" w:lastRowFirstColumn="0" w:lastRowLastColumn="0"/>
            </w:pPr>
            <w:r w:rsidRPr="00F376B8">
              <w:t>54 appartements</w:t>
            </w:r>
          </w:p>
        </w:tc>
      </w:tr>
      <w:tr w:rsidR="00F376B8" w:rsidRPr="00E0309E" w:rsidTr="00C90C54">
        <w:tc>
          <w:tcPr>
            <w:cnfStyle w:val="001000000000" w:firstRow="0" w:lastRow="0" w:firstColumn="1" w:lastColumn="0" w:oddVBand="0" w:evenVBand="0" w:oddHBand="0" w:evenHBand="0" w:firstRowFirstColumn="0" w:firstRowLastColumn="0" w:lastRowFirstColumn="0" w:lastRowLastColumn="0"/>
            <w:tcW w:w="2410" w:type="dxa"/>
          </w:tcPr>
          <w:p w:rsidR="00F376B8" w:rsidRPr="00E0309E" w:rsidRDefault="00F376B8" w:rsidP="00F376B8">
            <w:pPr>
              <w:pStyle w:val="TABLEAUCONTENU"/>
            </w:pPr>
            <w:r w:rsidRPr="00E0309E">
              <w:t>Programme</w:t>
            </w:r>
          </w:p>
        </w:tc>
        <w:tc>
          <w:tcPr>
            <w:tcW w:w="6606" w:type="dxa"/>
          </w:tcPr>
          <w:p w:rsidR="00F376B8" w:rsidRPr="00F376B8" w:rsidRDefault="00F376B8" w:rsidP="00F376B8">
            <w:pPr>
              <w:pStyle w:val="TABLEAUCONTENU"/>
              <w:cnfStyle w:val="000000000000" w:firstRow="0" w:lastRow="0" w:firstColumn="0" w:lastColumn="0" w:oddVBand="0" w:evenVBand="0" w:oddHBand="0" w:evenHBand="0" w:firstRowFirstColumn="0" w:firstRowLastColumn="0" w:lastRowFirstColumn="0" w:lastRowLastColumn="0"/>
            </w:pPr>
            <w:r w:rsidRPr="00F376B8">
              <w:t>4.700 m² d’espaces résidentiels</w:t>
            </w:r>
          </w:p>
        </w:tc>
      </w:tr>
      <w:tr w:rsidR="00F376B8" w:rsidRPr="00E0309E" w:rsidTr="00C90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F376B8" w:rsidRPr="00E0309E" w:rsidRDefault="00F376B8" w:rsidP="00F376B8">
            <w:pPr>
              <w:pStyle w:val="TABLEAUCONTENU"/>
            </w:pPr>
            <w:r w:rsidRPr="00E0309E">
              <w:t>Permis obtenus</w:t>
            </w:r>
          </w:p>
        </w:tc>
        <w:tc>
          <w:tcPr>
            <w:tcW w:w="6606" w:type="dxa"/>
          </w:tcPr>
          <w:p w:rsidR="00F376B8" w:rsidRPr="00F376B8" w:rsidRDefault="00F376B8" w:rsidP="00F376B8">
            <w:pPr>
              <w:pStyle w:val="TABLEAUCONTENU"/>
              <w:cnfStyle w:val="000000100000" w:firstRow="0" w:lastRow="0" w:firstColumn="0" w:lastColumn="0" w:oddVBand="0" w:evenVBand="0" w:oddHBand="1" w:evenHBand="0" w:firstRowFirstColumn="0" w:firstRowLastColumn="0" w:lastRowFirstColumn="0" w:lastRowLastColumn="0"/>
            </w:pPr>
            <w:r w:rsidRPr="00F376B8">
              <w:t>Permis d’urbanisme : Oui - Permis d’environnement : Oui</w:t>
            </w:r>
          </w:p>
        </w:tc>
      </w:tr>
      <w:tr w:rsidR="00F376B8" w:rsidRPr="00E0309E" w:rsidTr="00C90C54">
        <w:tc>
          <w:tcPr>
            <w:cnfStyle w:val="001000000000" w:firstRow="0" w:lastRow="0" w:firstColumn="1" w:lastColumn="0" w:oddVBand="0" w:evenVBand="0" w:oddHBand="0" w:evenHBand="0" w:firstRowFirstColumn="0" w:firstRowLastColumn="0" w:lastRowFirstColumn="0" w:lastRowLastColumn="0"/>
            <w:tcW w:w="2410" w:type="dxa"/>
          </w:tcPr>
          <w:p w:rsidR="00F376B8" w:rsidRPr="00E0309E" w:rsidRDefault="00F376B8" w:rsidP="00F376B8">
            <w:pPr>
              <w:pStyle w:val="TABLEAUCONTENU"/>
            </w:pPr>
            <w:r w:rsidRPr="00E0309E">
              <w:t>Période de construction</w:t>
            </w:r>
          </w:p>
        </w:tc>
        <w:tc>
          <w:tcPr>
            <w:tcW w:w="6606" w:type="dxa"/>
          </w:tcPr>
          <w:p w:rsidR="00F376B8" w:rsidRPr="00F376B8" w:rsidRDefault="00F376B8" w:rsidP="00F376B8">
            <w:pPr>
              <w:pStyle w:val="TABLEAUCONTENU"/>
              <w:cnfStyle w:val="000000000000" w:firstRow="0" w:lastRow="0" w:firstColumn="0" w:lastColumn="0" w:oddVBand="0" w:evenVBand="0" w:oddHBand="0" w:evenHBand="0" w:firstRowFirstColumn="0" w:firstRowLastColumn="0" w:lastRowFirstColumn="0" w:lastRowLastColumn="0"/>
            </w:pPr>
            <w:r w:rsidRPr="00F376B8">
              <w:t>Q3 2017 / Q3 2019</w:t>
            </w:r>
          </w:p>
        </w:tc>
      </w:tr>
    </w:tbl>
    <w:p w:rsidR="00CE626C" w:rsidRDefault="00CE626C" w:rsidP="00E95C2B">
      <w:pPr>
        <w:widowControl w:val="0"/>
      </w:pPr>
    </w:p>
    <w:tbl>
      <w:tblPr>
        <w:tblStyle w:val="GridTable4-Accent125"/>
        <w:tblW w:w="0" w:type="auto"/>
        <w:tblCellMar>
          <w:top w:w="57" w:type="dxa"/>
          <w:left w:w="57" w:type="dxa"/>
          <w:bottom w:w="57" w:type="dxa"/>
          <w:right w:w="57" w:type="dxa"/>
        </w:tblCellMar>
        <w:tblLook w:val="04A0" w:firstRow="1" w:lastRow="0" w:firstColumn="1" w:lastColumn="0" w:noHBand="0" w:noVBand="1"/>
      </w:tblPr>
      <w:tblGrid>
        <w:gridCol w:w="2410"/>
        <w:gridCol w:w="6606"/>
      </w:tblGrid>
      <w:tr w:rsidR="00CE626C" w:rsidRPr="00E0309E" w:rsidTr="000226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rsidR="00CE626C" w:rsidRPr="00EF0D9F" w:rsidRDefault="00CE626C" w:rsidP="00022677">
            <w:pPr>
              <w:pStyle w:val="TABLEAUTETEDECOLONNE"/>
            </w:pPr>
            <w:r>
              <w:rPr>
                <w:caps/>
              </w:rPr>
              <w:t>PARC SAINTE-ANNE - 3.500</w:t>
            </w:r>
            <w:r w:rsidRPr="00EF0D9F">
              <w:t xml:space="preserve"> m² - </w:t>
            </w:r>
            <w:r>
              <w:t>Auderghem</w:t>
            </w:r>
            <w:r w:rsidRPr="00EF0D9F">
              <w:t>, Belgique</w:t>
            </w:r>
          </w:p>
        </w:tc>
      </w:tr>
      <w:tr w:rsidR="00F376B8" w:rsidRPr="00E0309E" w:rsidTr="00022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F376B8" w:rsidRPr="00F376B8" w:rsidRDefault="00F376B8" w:rsidP="00F376B8">
            <w:pPr>
              <w:pStyle w:val="TABLEAUCONTENU"/>
            </w:pPr>
            <w:r w:rsidRPr="00E0309E">
              <w:t>Situation au 3</w:t>
            </w:r>
            <w:r w:rsidRPr="00F376B8">
              <w:t>0 juin 2017</w:t>
            </w:r>
          </w:p>
        </w:tc>
        <w:tc>
          <w:tcPr>
            <w:tcW w:w="6606" w:type="dxa"/>
          </w:tcPr>
          <w:p w:rsidR="00F376B8" w:rsidRPr="00F376B8" w:rsidRDefault="00F376B8" w:rsidP="00F376B8">
            <w:pPr>
              <w:pStyle w:val="TABLEAUCONTENU"/>
              <w:cnfStyle w:val="000000100000" w:firstRow="0" w:lastRow="0" w:firstColumn="0" w:lastColumn="0" w:oddVBand="0" w:evenVBand="0" w:oddHBand="1" w:evenHBand="0" w:firstRowFirstColumn="0" w:firstRowLastColumn="0" w:lastRowFirstColumn="0" w:lastRowLastColumn="0"/>
            </w:pPr>
            <w:r w:rsidRPr="00F376B8">
              <w:t>22 unités vendues sur 26</w:t>
            </w:r>
            <w:r w:rsidR="00E52BBE">
              <w:t xml:space="preserve"> – 85% vendu</w:t>
            </w:r>
          </w:p>
        </w:tc>
      </w:tr>
      <w:tr w:rsidR="00F376B8" w:rsidRPr="00E0309E" w:rsidTr="00022677">
        <w:tc>
          <w:tcPr>
            <w:cnfStyle w:val="001000000000" w:firstRow="0" w:lastRow="0" w:firstColumn="1" w:lastColumn="0" w:oddVBand="0" w:evenVBand="0" w:oddHBand="0" w:evenHBand="0" w:firstRowFirstColumn="0" w:firstRowLastColumn="0" w:lastRowFirstColumn="0" w:lastRowLastColumn="0"/>
            <w:tcW w:w="2410" w:type="dxa"/>
          </w:tcPr>
          <w:p w:rsidR="00F376B8" w:rsidRPr="00E0309E" w:rsidRDefault="00F376B8" w:rsidP="00F376B8">
            <w:pPr>
              <w:pStyle w:val="TABLEAUCONTENU"/>
            </w:pPr>
            <w:r w:rsidRPr="00E0309E">
              <w:t>Caractéristiques du projet</w:t>
            </w:r>
          </w:p>
        </w:tc>
        <w:tc>
          <w:tcPr>
            <w:tcW w:w="6606" w:type="dxa"/>
          </w:tcPr>
          <w:p w:rsidR="00F376B8" w:rsidRPr="00F376B8" w:rsidRDefault="00F376B8" w:rsidP="00F376B8">
            <w:pPr>
              <w:pStyle w:val="TABLEAUCONTENU"/>
              <w:cnfStyle w:val="000000000000" w:firstRow="0" w:lastRow="0" w:firstColumn="0" w:lastColumn="0" w:oddVBand="0" w:evenVBand="0" w:oddHBand="0" w:evenHBand="0" w:firstRowFirstColumn="0" w:firstRowLastColumn="0" w:lastRowFirstColumn="0" w:lastRowLastColumn="0"/>
            </w:pPr>
            <w:r w:rsidRPr="00F376B8">
              <w:t>Implanté dans un parc arboré tout proche du Domaine du Val Duchesse, ce complexe résidentiel prévoit des logements contemporains (du studio au penthouse) aux finitions élégantes. Chaque appartement bénéficie de sa terrasse avec vue sur le parc ou l’îlot intérieur, faisant la part belle au calme et à la lumière.</w:t>
            </w:r>
          </w:p>
        </w:tc>
      </w:tr>
      <w:tr w:rsidR="00F376B8" w:rsidRPr="00E0309E" w:rsidTr="00022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F376B8" w:rsidRPr="00E0309E" w:rsidRDefault="00F376B8" w:rsidP="00F376B8">
            <w:pPr>
              <w:pStyle w:val="TABLEAUCONTENU"/>
            </w:pPr>
            <w:r w:rsidRPr="00E0309E">
              <w:t>Unités résidentielles</w:t>
            </w:r>
          </w:p>
        </w:tc>
        <w:tc>
          <w:tcPr>
            <w:tcW w:w="6606" w:type="dxa"/>
          </w:tcPr>
          <w:p w:rsidR="00F376B8" w:rsidRPr="00F376B8" w:rsidRDefault="00F376B8" w:rsidP="00F376B8">
            <w:pPr>
              <w:pStyle w:val="TABLEAUCONTENU"/>
              <w:cnfStyle w:val="000000100000" w:firstRow="0" w:lastRow="0" w:firstColumn="0" w:lastColumn="0" w:oddVBand="0" w:evenVBand="0" w:oddHBand="1" w:evenHBand="0" w:firstRowFirstColumn="0" w:firstRowLastColumn="0" w:lastRowFirstColumn="0" w:lastRowLastColumn="0"/>
            </w:pPr>
            <w:r w:rsidRPr="00F376B8">
              <w:t>26</w:t>
            </w:r>
          </w:p>
        </w:tc>
      </w:tr>
      <w:tr w:rsidR="00F376B8" w:rsidRPr="00E0309E" w:rsidTr="00022677">
        <w:tc>
          <w:tcPr>
            <w:cnfStyle w:val="001000000000" w:firstRow="0" w:lastRow="0" w:firstColumn="1" w:lastColumn="0" w:oddVBand="0" w:evenVBand="0" w:oddHBand="0" w:evenHBand="0" w:firstRowFirstColumn="0" w:firstRowLastColumn="0" w:lastRowFirstColumn="0" w:lastRowLastColumn="0"/>
            <w:tcW w:w="2410" w:type="dxa"/>
          </w:tcPr>
          <w:p w:rsidR="00F376B8" w:rsidRPr="00E0309E" w:rsidRDefault="00F376B8" w:rsidP="00F376B8">
            <w:pPr>
              <w:pStyle w:val="TABLEAUCONTENU"/>
            </w:pPr>
            <w:r w:rsidRPr="00E0309E">
              <w:t>Programme</w:t>
            </w:r>
          </w:p>
        </w:tc>
        <w:tc>
          <w:tcPr>
            <w:tcW w:w="6606" w:type="dxa"/>
          </w:tcPr>
          <w:p w:rsidR="00F376B8" w:rsidRPr="00F376B8" w:rsidRDefault="00F376B8" w:rsidP="00F376B8">
            <w:pPr>
              <w:pStyle w:val="TABLEAUCONTENU"/>
              <w:cnfStyle w:val="000000000000" w:firstRow="0" w:lastRow="0" w:firstColumn="0" w:lastColumn="0" w:oddVBand="0" w:evenVBand="0" w:oddHBand="0" w:evenHBand="0" w:firstRowFirstColumn="0" w:firstRowLastColumn="0" w:lastRowFirstColumn="0" w:lastRowLastColumn="0"/>
            </w:pPr>
            <w:r w:rsidRPr="00F376B8">
              <w:t>1 immeuble résidentiel comprenant 26 appartements de standing</w:t>
            </w:r>
          </w:p>
        </w:tc>
      </w:tr>
      <w:tr w:rsidR="00F376B8" w:rsidRPr="00E0309E" w:rsidTr="000226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F376B8" w:rsidRPr="00E0309E" w:rsidRDefault="00F376B8" w:rsidP="00F376B8">
            <w:pPr>
              <w:pStyle w:val="TABLEAUCONTENU"/>
            </w:pPr>
            <w:r w:rsidRPr="00E0309E">
              <w:t>Permis obtenus</w:t>
            </w:r>
          </w:p>
        </w:tc>
        <w:tc>
          <w:tcPr>
            <w:tcW w:w="6606" w:type="dxa"/>
          </w:tcPr>
          <w:p w:rsidR="00F376B8" w:rsidRPr="00F376B8" w:rsidRDefault="00F376B8" w:rsidP="00F376B8">
            <w:pPr>
              <w:pStyle w:val="TABLEAUCONTENU"/>
              <w:cnfStyle w:val="000000100000" w:firstRow="0" w:lastRow="0" w:firstColumn="0" w:lastColumn="0" w:oddVBand="0" w:evenVBand="0" w:oddHBand="1" w:evenHBand="0" w:firstRowFirstColumn="0" w:firstRowLastColumn="0" w:lastRowFirstColumn="0" w:lastRowLastColumn="0"/>
            </w:pPr>
            <w:r w:rsidRPr="00F376B8">
              <w:t>Permis d’urbanisme : Oui - Permis d’environnement : Oui</w:t>
            </w:r>
          </w:p>
        </w:tc>
      </w:tr>
      <w:tr w:rsidR="00F376B8" w:rsidRPr="00E0309E" w:rsidTr="00022677">
        <w:tc>
          <w:tcPr>
            <w:cnfStyle w:val="001000000000" w:firstRow="0" w:lastRow="0" w:firstColumn="1" w:lastColumn="0" w:oddVBand="0" w:evenVBand="0" w:oddHBand="0" w:evenHBand="0" w:firstRowFirstColumn="0" w:firstRowLastColumn="0" w:lastRowFirstColumn="0" w:lastRowLastColumn="0"/>
            <w:tcW w:w="2410" w:type="dxa"/>
          </w:tcPr>
          <w:p w:rsidR="00F376B8" w:rsidRPr="00E0309E" w:rsidRDefault="00F376B8" w:rsidP="00F376B8">
            <w:pPr>
              <w:pStyle w:val="TABLEAUCONTENU"/>
            </w:pPr>
            <w:r w:rsidRPr="00E0309E">
              <w:t>Période de construction</w:t>
            </w:r>
          </w:p>
        </w:tc>
        <w:tc>
          <w:tcPr>
            <w:tcW w:w="6606" w:type="dxa"/>
          </w:tcPr>
          <w:p w:rsidR="00F376B8" w:rsidRPr="00F376B8" w:rsidRDefault="00F376B8" w:rsidP="00F376B8">
            <w:pPr>
              <w:pStyle w:val="TABLEAUCONTENU"/>
              <w:cnfStyle w:val="000000000000" w:firstRow="0" w:lastRow="0" w:firstColumn="0" w:lastColumn="0" w:oddVBand="0" w:evenVBand="0" w:oddHBand="0" w:evenHBand="0" w:firstRowFirstColumn="0" w:firstRowLastColumn="0" w:lastRowFirstColumn="0" w:lastRowLastColumn="0"/>
            </w:pPr>
            <w:r w:rsidRPr="00F376B8">
              <w:t>Q1 2016 / Q2 2018</w:t>
            </w:r>
          </w:p>
        </w:tc>
      </w:tr>
    </w:tbl>
    <w:p w:rsidR="00DC7EDE" w:rsidRDefault="00DC7EDE" w:rsidP="00E95C2B">
      <w:pPr>
        <w:widowControl w:val="0"/>
      </w:pPr>
    </w:p>
    <w:p w:rsidR="00DC7EDE" w:rsidRDefault="00DC7EDE" w:rsidP="00DC7EDE">
      <w:r>
        <w:br w:type="page"/>
      </w:r>
    </w:p>
    <w:tbl>
      <w:tblPr>
        <w:tblStyle w:val="GridTable4-Accent125"/>
        <w:tblW w:w="0" w:type="auto"/>
        <w:tblCellMar>
          <w:top w:w="57" w:type="dxa"/>
          <w:left w:w="57" w:type="dxa"/>
          <w:bottom w:w="57" w:type="dxa"/>
          <w:right w:w="57" w:type="dxa"/>
        </w:tblCellMar>
        <w:tblLook w:val="04A0" w:firstRow="1" w:lastRow="0" w:firstColumn="1" w:lastColumn="0" w:noHBand="0" w:noVBand="1"/>
      </w:tblPr>
      <w:tblGrid>
        <w:gridCol w:w="2410"/>
        <w:gridCol w:w="6606"/>
      </w:tblGrid>
      <w:tr w:rsidR="00ED709C" w:rsidRPr="00E0309E" w:rsidTr="00DF3B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rsidR="00ED709C" w:rsidRPr="00EF0D9F" w:rsidRDefault="00ED709C" w:rsidP="00DF3BC6">
            <w:pPr>
              <w:pStyle w:val="TABLEAUTETEDECOLONNE"/>
            </w:pPr>
            <w:r>
              <w:rPr>
                <w:caps/>
              </w:rPr>
              <w:lastRenderedPageBreak/>
              <w:t>centre etoile - 3.440</w:t>
            </w:r>
            <w:r w:rsidRPr="00EF0D9F">
              <w:t xml:space="preserve">m² - </w:t>
            </w:r>
            <w:r>
              <w:t>Luxembourg-Ville, Grand-Duché du Luxembourg</w:t>
            </w:r>
          </w:p>
        </w:tc>
      </w:tr>
      <w:tr w:rsidR="00F376B8" w:rsidRPr="00E0309E" w:rsidTr="00DF3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F376B8" w:rsidRPr="00F376B8" w:rsidRDefault="00F376B8" w:rsidP="00F376B8">
            <w:pPr>
              <w:pStyle w:val="TABLEAUCONTENU"/>
            </w:pPr>
            <w:r w:rsidRPr="00E0309E">
              <w:t>Situation au 3</w:t>
            </w:r>
            <w:r w:rsidRPr="00F376B8">
              <w:t>0 juin 2017</w:t>
            </w:r>
          </w:p>
        </w:tc>
        <w:tc>
          <w:tcPr>
            <w:tcW w:w="6606" w:type="dxa"/>
          </w:tcPr>
          <w:p w:rsidR="00F376B8" w:rsidRPr="00F376B8" w:rsidRDefault="00F376B8" w:rsidP="00F376B8">
            <w:pPr>
              <w:pStyle w:val="TABLEAUCONTENU"/>
              <w:cnfStyle w:val="000000100000" w:firstRow="0" w:lastRow="0" w:firstColumn="0" w:lastColumn="0" w:oddVBand="0" w:evenVBand="0" w:oddHBand="1" w:evenHBand="0" w:firstRowFirstColumn="0" w:firstRowLastColumn="0" w:lastRowFirstColumn="0" w:lastRowLastColumn="0"/>
            </w:pPr>
            <w:r w:rsidRPr="00F376B8">
              <w:t>Actuellement loué. Programmation à revoir sur base du nouveau PAG (Plan d’aménagement général)</w:t>
            </w:r>
          </w:p>
        </w:tc>
      </w:tr>
      <w:tr w:rsidR="00F376B8" w:rsidRPr="00E0309E" w:rsidTr="00DF3BC6">
        <w:tc>
          <w:tcPr>
            <w:cnfStyle w:val="001000000000" w:firstRow="0" w:lastRow="0" w:firstColumn="1" w:lastColumn="0" w:oddVBand="0" w:evenVBand="0" w:oddHBand="0" w:evenHBand="0" w:firstRowFirstColumn="0" w:firstRowLastColumn="0" w:lastRowFirstColumn="0" w:lastRowLastColumn="0"/>
            <w:tcW w:w="2410" w:type="dxa"/>
          </w:tcPr>
          <w:p w:rsidR="00F376B8" w:rsidRPr="00E0309E" w:rsidRDefault="00F376B8" w:rsidP="00F376B8">
            <w:pPr>
              <w:pStyle w:val="TABLEAUCONTENU"/>
            </w:pPr>
            <w:r w:rsidRPr="00E0309E">
              <w:t>Caractéristiques du projet</w:t>
            </w:r>
          </w:p>
        </w:tc>
        <w:tc>
          <w:tcPr>
            <w:tcW w:w="6606" w:type="dxa"/>
          </w:tcPr>
          <w:p w:rsidR="00F376B8" w:rsidRPr="00F376B8" w:rsidRDefault="00F376B8" w:rsidP="00F376B8">
            <w:pPr>
              <w:pStyle w:val="TABLEAUCONTENU"/>
              <w:cnfStyle w:val="000000000000" w:firstRow="0" w:lastRow="0" w:firstColumn="0" w:lastColumn="0" w:oddVBand="0" w:evenVBand="0" w:oddHBand="0" w:evenHBand="0" w:firstRowFirstColumn="0" w:firstRowLastColumn="0" w:lastRowFirstColumn="0" w:lastRowLastColumn="0"/>
            </w:pPr>
            <w:r w:rsidRPr="00F376B8">
              <w:t>Le projet Centre Étoile a pour but de redévelopper complètement un immeuble de bureaux datant de 1992. Situé place de l’Étoile, il bénéficie d’une implantation particulièrement stratégique en plein cœur de la capitale et à proximité immédiate du Kirchberg et des connexions autoroutières.</w:t>
            </w:r>
          </w:p>
        </w:tc>
      </w:tr>
      <w:tr w:rsidR="00F376B8" w:rsidRPr="00E0309E" w:rsidTr="00DF3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F376B8" w:rsidRPr="00E0309E" w:rsidRDefault="00F376B8" w:rsidP="00F376B8">
            <w:pPr>
              <w:pStyle w:val="TABLEAUCONTENU"/>
            </w:pPr>
            <w:r w:rsidRPr="00E0309E">
              <w:t>Programme</w:t>
            </w:r>
          </w:p>
        </w:tc>
        <w:tc>
          <w:tcPr>
            <w:tcW w:w="6606" w:type="dxa"/>
          </w:tcPr>
          <w:p w:rsidR="00F376B8" w:rsidRPr="00F376B8" w:rsidRDefault="00F376B8" w:rsidP="00F376B8">
            <w:pPr>
              <w:pStyle w:val="TABLEAUCONTENU"/>
              <w:cnfStyle w:val="000000100000" w:firstRow="0" w:lastRow="0" w:firstColumn="0" w:lastColumn="0" w:oddVBand="0" w:evenVBand="0" w:oddHBand="1" w:evenHBand="0" w:firstRowFirstColumn="0" w:firstRowLastColumn="0" w:lastRowFirstColumn="0" w:lastRowLastColumn="0"/>
            </w:pPr>
            <w:r w:rsidRPr="00F376B8">
              <w:t>Remise à neuf du bâtiment de bureaux de 3.440 m² à démarrer à la fin du bail actuel</w:t>
            </w:r>
          </w:p>
        </w:tc>
      </w:tr>
      <w:tr w:rsidR="00F376B8" w:rsidRPr="00E0309E" w:rsidTr="00DF3BC6">
        <w:tc>
          <w:tcPr>
            <w:cnfStyle w:val="001000000000" w:firstRow="0" w:lastRow="0" w:firstColumn="1" w:lastColumn="0" w:oddVBand="0" w:evenVBand="0" w:oddHBand="0" w:evenHBand="0" w:firstRowFirstColumn="0" w:firstRowLastColumn="0" w:lastRowFirstColumn="0" w:lastRowLastColumn="0"/>
            <w:tcW w:w="2410" w:type="dxa"/>
          </w:tcPr>
          <w:p w:rsidR="00F376B8" w:rsidRPr="00E0309E" w:rsidRDefault="00F376B8" w:rsidP="00F376B8">
            <w:pPr>
              <w:pStyle w:val="TABLEAUCONTENU"/>
            </w:pPr>
            <w:r w:rsidRPr="00E0309E">
              <w:t>Permis obtenus</w:t>
            </w:r>
          </w:p>
        </w:tc>
        <w:tc>
          <w:tcPr>
            <w:tcW w:w="6606" w:type="dxa"/>
          </w:tcPr>
          <w:p w:rsidR="00F376B8" w:rsidRPr="00F376B8" w:rsidRDefault="00F376B8" w:rsidP="00F376B8">
            <w:pPr>
              <w:pStyle w:val="TABLEAUCONTENU"/>
              <w:cnfStyle w:val="000000000000" w:firstRow="0" w:lastRow="0" w:firstColumn="0" w:lastColumn="0" w:oddVBand="0" w:evenVBand="0" w:oddHBand="0" w:evenHBand="0" w:firstRowFirstColumn="0" w:firstRowLastColumn="0" w:lastRowFirstColumn="0" w:lastRowLastColumn="0"/>
            </w:pPr>
            <w:r w:rsidRPr="00F376B8">
              <w:t>S.O.</w:t>
            </w:r>
          </w:p>
        </w:tc>
      </w:tr>
      <w:tr w:rsidR="00F376B8" w:rsidRPr="00E0309E" w:rsidTr="00DF3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F376B8" w:rsidRPr="00E0309E" w:rsidRDefault="00F376B8" w:rsidP="00F376B8">
            <w:pPr>
              <w:pStyle w:val="TABLEAUCONTENU"/>
            </w:pPr>
            <w:r w:rsidRPr="00E0309E">
              <w:t>Période de construction</w:t>
            </w:r>
          </w:p>
        </w:tc>
        <w:tc>
          <w:tcPr>
            <w:tcW w:w="6606" w:type="dxa"/>
          </w:tcPr>
          <w:p w:rsidR="00F376B8" w:rsidRPr="00F376B8" w:rsidRDefault="00F376B8" w:rsidP="00F376B8">
            <w:pPr>
              <w:pStyle w:val="TABLEAUCONTENU"/>
              <w:cnfStyle w:val="000000100000" w:firstRow="0" w:lastRow="0" w:firstColumn="0" w:lastColumn="0" w:oddVBand="0" w:evenVBand="0" w:oddHBand="1" w:evenHBand="0" w:firstRowFirstColumn="0" w:firstRowLastColumn="0" w:lastRowFirstColumn="0" w:lastRowLastColumn="0"/>
            </w:pPr>
            <w:r w:rsidRPr="00F376B8">
              <w:t>Q1 2021 / Q2 2022</w:t>
            </w:r>
          </w:p>
        </w:tc>
      </w:tr>
    </w:tbl>
    <w:p w:rsidR="00E0309E" w:rsidRDefault="00E0309E" w:rsidP="00E95C2B">
      <w:pPr>
        <w:widowControl w:val="0"/>
      </w:pPr>
    </w:p>
    <w:p w:rsidR="00F376B8" w:rsidRPr="00F376B8" w:rsidRDefault="00F376B8" w:rsidP="00135CBF">
      <w:pPr>
        <w:pStyle w:val="Heading3"/>
      </w:pPr>
      <w:r w:rsidRPr="00F376B8">
        <w:t>A</w:t>
      </w:r>
      <w:r w:rsidR="00135CBF">
        <w:t>ctions propres</w:t>
      </w:r>
    </w:p>
    <w:p w:rsidR="00F376B8" w:rsidRDefault="00F376B8" w:rsidP="00F376B8">
      <w:r w:rsidRPr="00F376B8">
        <w:t xml:space="preserve">En conséquence de la fusion entre ALLFIN (qui détenait 29,85% des actions IMMOBEL avant la fusion) et IMMOBEL, l’entité fusionnée IMMOBEL détient à ce jour un total de 1.230.398 actions propres. </w:t>
      </w:r>
    </w:p>
    <w:p w:rsidR="00F376B8" w:rsidRPr="00F376B8" w:rsidRDefault="00F376B8" w:rsidP="00F376B8">
      <w:r w:rsidRPr="00F376B8">
        <w:t>Conformément à IAS32, ces actions propres sont présentées en déduction des fonds propres (pour une valeur au 30 juin 2017 de 66,6 MEUR). Ces actions propres n’ont ni droit de vote, ni droit au dividende.</w:t>
      </w:r>
    </w:p>
    <w:p w:rsidR="000108EA" w:rsidRPr="00A41CF5" w:rsidRDefault="00400C17" w:rsidP="00CD2615">
      <w:pPr>
        <w:pStyle w:val="Heading1"/>
        <w:rPr>
          <w:rFonts w:eastAsiaTheme="minorEastAsia"/>
        </w:rPr>
      </w:pPr>
      <w:bookmarkStart w:id="8" w:name="_Toc491768796"/>
      <w:r w:rsidRPr="00A41CF5">
        <w:rPr>
          <w:rFonts w:eastAsiaTheme="minorEastAsia"/>
        </w:rPr>
        <w:lastRenderedPageBreak/>
        <w:t>É</w:t>
      </w:r>
      <w:r w:rsidR="00732824" w:rsidRPr="00A41CF5">
        <w:rPr>
          <w:rFonts w:eastAsiaTheme="minorEastAsia"/>
        </w:rPr>
        <w:t>tats financiers consolidés intermédiaire abrégés</w:t>
      </w:r>
      <w:bookmarkEnd w:id="8"/>
      <w:r w:rsidR="000108EA" w:rsidRPr="00A41CF5">
        <w:rPr>
          <w:rFonts w:eastAsiaTheme="minorEastAsia"/>
        </w:rPr>
        <w:t xml:space="preserve"> </w:t>
      </w:r>
    </w:p>
    <w:p w:rsidR="00732824" w:rsidRPr="00A41CF5" w:rsidRDefault="00400C17" w:rsidP="00CA5ECB">
      <w:pPr>
        <w:pStyle w:val="Heading2"/>
      </w:pPr>
      <w:bookmarkStart w:id="9" w:name="_Hlk491679945"/>
      <w:bookmarkStart w:id="10" w:name="_Toc491768797"/>
      <w:r w:rsidRPr="00A41CF5">
        <w:t>É</w:t>
      </w:r>
      <w:r w:rsidR="0093007F" w:rsidRPr="00A41CF5">
        <w:t xml:space="preserve">TAT CONSOLIDÉ DU RÉSULTAT GLOBAL </w:t>
      </w:r>
      <w:bookmarkEnd w:id="9"/>
      <w:r w:rsidR="00F376B8" w:rsidRPr="00A41CF5">
        <w:t>(</w:t>
      </w:r>
      <w:r w:rsidR="00C81B17">
        <w:t>EN MILLIERS</w:t>
      </w:r>
      <w:r w:rsidR="00F376B8" w:rsidRPr="00A41CF5">
        <w:t xml:space="preserve"> €</w:t>
      </w:r>
      <w:r w:rsidR="00C07EA5" w:rsidRPr="00A41CF5">
        <w:t>)</w:t>
      </w:r>
      <w:bookmarkEnd w:id="10"/>
    </w:p>
    <w:p w:rsidR="00AF4567" w:rsidRDefault="00610531">
      <w:pPr>
        <w:spacing w:after="80"/>
        <w:jc w:val="left"/>
      </w:pPr>
      <w:r w:rsidRPr="00610531">
        <w:rPr>
          <w:noProof/>
        </w:rPr>
        <w:drawing>
          <wp:inline distT="0" distB="0" distL="0" distR="0">
            <wp:extent cx="5939790" cy="5653424"/>
            <wp:effectExtent l="0" t="0" r="381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5653424"/>
                    </a:xfrm>
                    <a:prstGeom prst="rect">
                      <a:avLst/>
                    </a:prstGeom>
                    <a:noFill/>
                    <a:ln>
                      <a:noFill/>
                    </a:ln>
                  </pic:spPr>
                </pic:pic>
              </a:graphicData>
            </a:graphic>
          </wp:inline>
        </w:drawing>
      </w:r>
      <w:r w:rsidR="00AF4567">
        <w:br w:type="page"/>
      </w:r>
    </w:p>
    <w:p w:rsidR="00732824" w:rsidRPr="00A41CF5" w:rsidRDefault="00400C17" w:rsidP="00400C17">
      <w:pPr>
        <w:pStyle w:val="Heading2"/>
      </w:pPr>
      <w:bookmarkStart w:id="11" w:name="_Toc491768798"/>
      <w:r w:rsidRPr="00A41CF5">
        <w:lastRenderedPageBreak/>
        <w:t>É</w:t>
      </w:r>
      <w:r w:rsidR="0093007F" w:rsidRPr="00A41CF5">
        <w:t xml:space="preserve">TAT CONSOLIDÉ </w:t>
      </w:r>
      <w:bookmarkStart w:id="12" w:name="_Hlk491679890"/>
      <w:r w:rsidR="0093007F" w:rsidRPr="00A41CF5">
        <w:t xml:space="preserve">DE LA </w:t>
      </w:r>
      <w:bookmarkEnd w:id="12"/>
      <w:r w:rsidR="0093007F" w:rsidRPr="00A41CF5">
        <w:t xml:space="preserve">SITUATION FINANCIÈRE </w:t>
      </w:r>
      <w:r w:rsidR="00C07EA5" w:rsidRPr="00A41CF5">
        <w:t>(</w:t>
      </w:r>
      <w:r w:rsidR="00C81B17">
        <w:t>EN MILLIERS</w:t>
      </w:r>
      <w:r w:rsidR="00C07EA5" w:rsidRPr="00A41CF5">
        <w:t xml:space="preserve"> €)</w:t>
      </w:r>
      <w:bookmarkEnd w:id="11"/>
    </w:p>
    <w:p w:rsidR="00573057" w:rsidRPr="00573057" w:rsidRDefault="00636008" w:rsidP="00573057">
      <w:r w:rsidRPr="00636008">
        <w:rPr>
          <w:noProof/>
        </w:rPr>
        <w:drawing>
          <wp:inline distT="0" distB="0" distL="0" distR="0">
            <wp:extent cx="5939790" cy="6438622"/>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6438622"/>
                    </a:xfrm>
                    <a:prstGeom prst="rect">
                      <a:avLst/>
                    </a:prstGeom>
                    <a:noFill/>
                    <a:ln>
                      <a:noFill/>
                    </a:ln>
                  </pic:spPr>
                </pic:pic>
              </a:graphicData>
            </a:graphic>
          </wp:inline>
        </w:drawing>
      </w:r>
    </w:p>
    <w:p w:rsidR="00732824" w:rsidRPr="00A41CF5" w:rsidRDefault="00610531" w:rsidP="00CA5ECB">
      <w:pPr>
        <w:pStyle w:val="Heading2"/>
      </w:pPr>
      <w:r>
        <w:rPr>
          <w:b/>
        </w:rPr>
        <w:lastRenderedPageBreak/>
        <w:t xml:space="preserve">    </w:t>
      </w:r>
      <w:bookmarkStart w:id="13" w:name="_Toc491768799"/>
      <w:r w:rsidR="00400C17" w:rsidRPr="00A41CF5">
        <w:t>É</w:t>
      </w:r>
      <w:r w:rsidR="00E6046D" w:rsidRPr="00A41CF5">
        <w:t>TAT CONSOLIDÉ DES FLUX DE TRÉSORERIE</w:t>
      </w:r>
      <w:r w:rsidR="00C07EA5" w:rsidRPr="00A41CF5">
        <w:t xml:space="preserve"> (</w:t>
      </w:r>
      <w:r w:rsidR="00C81B17">
        <w:t>EN MILLIERS</w:t>
      </w:r>
      <w:r w:rsidR="00C07EA5" w:rsidRPr="00A41CF5">
        <w:t xml:space="preserve"> €)</w:t>
      </w:r>
      <w:bookmarkEnd w:id="13"/>
    </w:p>
    <w:p w:rsidR="00636008" w:rsidRPr="00636008" w:rsidRDefault="00910907" w:rsidP="00636008">
      <w:r w:rsidRPr="00910907">
        <w:rPr>
          <w:noProof/>
        </w:rPr>
        <w:drawing>
          <wp:inline distT="0" distB="0" distL="0" distR="0">
            <wp:extent cx="5939790" cy="4701949"/>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4701949"/>
                    </a:xfrm>
                    <a:prstGeom prst="rect">
                      <a:avLst/>
                    </a:prstGeom>
                    <a:noFill/>
                    <a:ln>
                      <a:noFill/>
                    </a:ln>
                  </pic:spPr>
                </pic:pic>
              </a:graphicData>
            </a:graphic>
          </wp:inline>
        </w:drawing>
      </w:r>
    </w:p>
    <w:p w:rsidR="00712858" w:rsidRPr="00712858" w:rsidRDefault="00712858" w:rsidP="00712858"/>
    <w:p w:rsidR="008B3ED7" w:rsidRPr="008B3ED7" w:rsidRDefault="008B3ED7" w:rsidP="008B3ED7">
      <w:r w:rsidRPr="008B3ED7">
        <w:t>Les acquisitions et cessions de projets, que ce soit directement ou indirectement au travers de l’acquisition ou la cession d'une société dédiée à un projet (filiales, coentreprises et entreprises associées) ne sont pas considérées comme des opérations d'investissement et sont directement reprises dans les flux de trésorerie provenant des activités opérationnelles, essentiellement "Revenus opérationnels / Charges opérationnelles et Variation du besoin en fonds de roulement".</w:t>
      </w:r>
    </w:p>
    <w:p w:rsidR="008B3ED7" w:rsidRDefault="008B3ED7" w:rsidP="008B3ED7">
      <w:pPr>
        <w:spacing w:after="80"/>
        <w:jc w:val="left"/>
      </w:pPr>
    </w:p>
    <w:p w:rsidR="00C07EA5" w:rsidRDefault="00C07EA5" w:rsidP="008B3ED7">
      <w:pPr>
        <w:spacing w:after="80"/>
        <w:jc w:val="left"/>
        <w:rPr>
          <w:rFonts w:asciiTheme="majorHAnsi" w:eastAsiaTheme="majorEastAsia" w:hAnsiTheme="majorHAnsi" w:cstheme="majorBidi"/>
          <w:color w:val="303874"/>
          <w:sz w:val="26"/>
          <w:szCs w:val="26"/>
        </w:rPr>
      </w:pPr>
      <w:r>
        <w:br w:type="page"/>
      </w:r>
    </w:p>
    <w:p w:rsidR="00732824" w:rsidRPr="00A41CF5" w:rsidRDefault="00400C17" w:rsidP="00CA5ECB">
      <w:pPr>
        <w:pStyle w:val="Heading2"/>
      </w:pPr>
      <w:bookmarkStart w:id="14" w:name="_Toc491768800"/>
      <w:r w:rsidRPr="00A41CF5">
        <w:lastRenderedPageBreak/>
        <w:t>É</w:t>
      </w:r>
      <w:r w:rsidR="00E6046D" w:rsidRPr="00A41CF5">
        <w:t>TAT CONSOLIDÉ DES VARIATIONS DES CAPITAUX PROPRES</w:t>
      </w:r>
      <w:r w:rsidR="00C07EA5" w:rsidRPr="00A41CF5">
        <w:t xml:space="preserve"> (</w:t>
      </w:r>
      <w:r w:rsidR="00C81B17">
        <w:t>EN MILLIERS</w:t>
      </w:r>
      <w:r w:rsidR="00C07EA5" w:rsidRPr="00A41CF5">
        <w:t xml:space="preserve"> €)</w:t>
      </w:r>
      <w:bookmarkEnd w:id="14"/>
    </w:p>
    <w:p w:rsidR="00D66E81" w:rsidRDefault="0017653F" w:rsidP="00C07EA5">
      <w:r w:rsidRPr="0017653F">
        <w:rPr>
          <w:noProof/>
        </w:rPr>
        <w:drawing>
          <wp:inline distT="0" distB="0" distL="0" distR="0">
            <wp:extent cx="5939790" cy="6185091"/>
            <wp:effectExtent l="0" t="0" r="381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6185091"/>
                    </a:xfrm>
                    <a:prstGeom prst="rect">
                      <a:avLst/>
                    </a:prstGeom>
                    <a:noFill/>
                    <a:ln>
                      <a:noFill/>
                    </a:ln>
                  </pic:spPr>
                </pic:pic>
              </a:graphicData>
            </a:graphic>
          </wp:inline>
        </w:drawing>
      </w:r>
    </w:p>
    <w:p w:rsidR="002D7DDF" w:rsidRDefault="00C07EA5" w:rsidP="00C07EA5">
      <w:r w:rsidRPr="00C07EA5">
        <w:t>Le capital social d’IMMOBEL SA est représenté par 9.997.356 actions ordinaires, dont 1.230.398 actions propres.</w:t>
      </w:r>
    </w:p>
    <w:p w:rsidR="002D7DDF" w:rsidRDefault="002D7DDF" w:rsidP="002D7DDF">
      <w:r>
        <w:br w:type="page"/>
      </w:r>
    </w:p>
    <w:p w:rsidR="00732824" w:rsidRPr="00A41CF5" w:rsidRDefault="00732824" w:rsidP="00E6046D">
      <w:pPr>
        <w:pStyle w:val="Heading2"/>
      </w:pPr>
      <w:bookmarkStart w:id="15" w:name="_Toc491768801"/>
      <w:bookmarkStart w:id="16" w:name="OLE_LINK1"/>
      <w:r w:rsidRPr="00A41CF5">
        <w:lastRenderedPageBreak/>
        <w:t>N</w:t>
      </w:r>
      <w:r w:rsidR="00E6046D" w:rsidRPr="00A41CF5">
        <w:t>OTES SUR LES ÉTATS FINANCIERS CONSOLIDÉS INTERMÉDIAIRES ABRÉGÉS</w:t>
      </w:r>
      <w:bookmarkEnd w:id="15"/>
    </w:p>
    <w:bookmarkEnd w:id="16"/>
    <w:p w:rsidR="00D66E81" w:rsidRPr="00D66E81" w:rsidRDefault="0093007F" w:rsidP="00D66E81">
      <w:pPr>
        <w:pStyle w:val="Heading3"/>
      </w:pPr>
      <w:r>
        <w:t>Note 1</w:t>
      </w:r>
      <w:r w:rsidR="00E6046D">
        <w:t xml:space="preserve">. </w:t>
      </w:r>
      <w:r w:rsidR="00135CBF">
        <w:t>Base de préparation</w:t>
      </w:r>
    </w:p>
    <w:p w:rsidR="00D66E81" w:rsidRPr="00D66E81" w:rsidRDefault="00D66E81" w:rsidP="00D66E81">
      <w:r w:rsidRPr="00D66E81">
        <w:t xml:space="preserve">Les états financiers consolidés intermédiaires abrégés ont été préparés conformément à la norme IAS34, Information Financière Intermédiaire, telle qu’adoptée dans l’Union Européenne. </w:t>
      </w:r>
    </w:p>
    <w:p w:rsidR="00D66E81" w:rsidRPr="00D66E81" w:rsidRDefault="00E6046D" w:rsidP="00D66E81">
      <w:pPr>
        <w:pStyle w:val="Heading3"/>
      </w:pPr>
      <w:r>
        <w:t xml:space="preserve">Note 2. </w:t>
      </w:r>
      <w:r w:rsidR="00135CBF">
        <w:t>Principes et méthodes comptables</w:t>
      </w:r>
    </w:p>
    <w:p w:rsidR="00D66E81" w:rsidRPr="00D66E81" w:rsidRDefault="00D66E81" w:rsidP="00D66E81">
      <w:r w:rsidRPr="00D66E81">
        <w:t xml:space="preserve">Pour rappel, suite à la fusion entre ALLFIN et IMMOBEL en date du 29 juin 2016, fusion considérée comptablement comme une fusion inversée, les chiffres du 30 juin 2016 de l’état consolidé du résultat global </w:t>
      </w:r>
      <w:r w:rsidR="00E6046D" w:rsidRPr="00D66E81">
        <w:t>reflètent</w:t>
      </w:r>
      <w:r w:rsidRPr="00D66E81">
        <w:t xml:space="preserve"> seulement, mis à part les charges et produits directement liés à la fusion, les 6 premiers mois de résultat d’ALLFIN, les 6 premiers mois de résultats d’IMMOBEL « avant fusion » ayant été intégrés directement dans les fonds propres. </w:t>
      </w:r>
    </w:p>
    <w:p w:rsidR="00D66E81" w:rsidRPr="00D66E81" w:rsidRDefault="00D66E81" w:rsidP="00D66E81">
      <w:r w:rsidRPr="00D66E81">
        <w:t>Les composantes de l’état consolidé du résultat global sont dès lors difficilement comparables, les chiffres du 30 juin 2016 étant repris pour information et non pour comparaison.</w:t>
      </w:r>
    </w:p>
    <w:p w:rsidR="00D66E81" w:rsidRPr="00D66E81" w:rsidRDefault="00D66E81" w:rsidP="00D66E81">
      <w:r w:rsidRPr="00D66E81">
        <w:t>Les méthodes comptables et les modalités de calcul adoptées dans les états financiers intermédiaires sont identiques à celles utilisées dans les états financiers annuels relatifs à l’exercice 2016, à l’exception de l’adoption, par le groupe, des nouvelles normes, interprétations et révisions qui lui sont imposées depuis le 1er janvier 2017.</w:t>
      </w:r>
    </w:p>
    <w:p w:rsidR="00D66E81" w:rsidRPr="00D66E81" w:rsidRDefault="00D66E81" w:rsidP="00D66E81">
      <w:pPr>
        <w:pStyle w:val="ListParagraph"/>
      </w:pPr>
      <w:r w:rsidRPr="00D66E81">
        <w:t>Améliorations annuelles des IFRS cycle 2014-2016 : Amendements à IFRS 12 (applicables pour les périodes annuelles ouvertes à compter du 1er janvier 2017, mais non encore adoptées au niveau européen)</w:t>
      </w:r>
    </w:p>
    <w:p w:rsidR="00D66E81" w:rsidRPr="00D66E81" w:rsidRDefault="00D66E81" w:rsidP="00D66E81">
      <w:pPr>
        <w:pStyle w:val="ListParagraph"/>
      </w:pPr>
      <w:r w:rsidRPr="00D66E81">
        <w:t>Amendements à IAS 7 Etat des flux de trésorerie – Initiative concernant les informations à fournir (applicables pour les périodes annuelles ouvertes à compter du 1er janvier 2017, mais non encore adoptés au niveau européen)</w:t>
      </w:r>
    </w:p>
    <w:p w:rsidR="00D66E81" w:rsidRPr="00D66E81" w:rsidRDefault="00D66E81" w:rsidP="00D66E81">
      <w:pPr>
        <w:pStyle w:val="ListParagraph"/>
      </w:pPr>
      <w:r w:rsidRPr="00D66E81">
        <w:t>Amendements à IAS 12 Impôts sur le résultat – Comptabilisation d’actifs d’impôt différé pour des pertes non réalisées (applicables pour les périodes annuelles ouvertes à compter du 1er janvier 2017, mais non encore adoptés au niveau européen)</w:t>
      </w:r>
    </w:p>
    <w:p w:rsidR="00D66E81" w:rsidRDefault="00D66E81" w:rsidP="00D66E81">
      <w:r w:rsidRPr="00D66E81">
        <w:t>Celles-ci n’ont pas eu d’impact significatif sur les états financiers consolidés d’IMMOBEL.</w:t>
      </w:r>
    </w:p>
    <w:p w:rsidR="00CC6CB9" w:rsidRDefault="00AC4075" w:rsidP="00A3788A">
      <w:pPr>
        <w:spacing w:after="0"/>
      </w:pPr>
      <w:r w:rsidRPr="00AC4075">
        <w:t>L</w:t>
      </w:r>
      <w:r w:rsidR="0019498B">
        <w:t>a présentation de l’</w:t>
      </w:r>
      <w:r w:rsidR="00CC6CB9" w:rsidRPr="00AC4075">
        <w:t xml:space="preserve">Etat consolidé du résultat global </w:t>
      </w:r>
      <w:r w:rsidR="0019498B">
        <w:t xml:space="preserve">a été modifiée pour améliorer la classification des coûts </w:t>
      </w:r>
      <w:r w:rsidR="00CC6CB9" w:rsidRPr="00AC4075">
        <w:t>par « fonction »</w:t>
      </w:r>
      <w:r w:rsidRPr="00AC4075">
        <w:t xml:space="preserve"> conformément à IAS 1</w:t>
      </w:r>
      <w:r w:rsidR="00CC6CB9" w:rsidRPr="00AC4075">
        <w:t>, les chiffres comparatifs étant retraités en conséquence.</w:t>
      </w:r>
    </w:p>
    <w:p w:rsidR="00A3788A" w:rsidRDefault="00A3788A" w:rsidP="00A3788A">
      <w:pPr>
        <w:spacing w:after="0"/>
      </w:pPr>
      <w:r w:rsidRPr="00A3788A">
        <w:t>Les frais de personnel, amortissements et autres charges d’exploitation présentés au 30 juin 2016 pour un total de 6.843 KEUR sont désormais répartis en Frais de commercialisation et Frais d’administration.</w:t>
      </w:r>
    </w:p>
    <w:p w:rsidR="00A3788A" w:rsidRPr="00D66E81" w:rsidRDefault="00A3788A" w:rsidP="00A3788A">
      <w:pPr>
        <w:spacing w:after="0"/>
      </w:pPr>
    </w:p>
    <w:p w:rsidR="00D66E81" w:rsidRPr="00D66E81" w:rsidRDefault="00D66E81" w:rsidP="00CC6CB9">
      <w:pPr>
        <w:spacing w:after="0"/>
      </w:pPr>
      <w:r w:rsidRPr="00D66E81">
        <w:t>IMMOBEL n’a pas anticipé l’application des normes et interprétations nouvelles et amendées qui entrent en vigueur après le 31 décembre 2017.</w:t>
      </w:r>
    </w:p>
    <w:p w:rsidR="00D66E81" w:rsidRPr="00D66E81" w:rsidRDefault="00D66E81" w:rsidP="00CC6CB9">
      <w:pPr>
        <w:spacing w:after="0"/>
      </w:pPr>
      <w:r w:rsidRPr="00D66E81">
        <w:t>Le groupe a néanmoins entrepris de déterminer les impacts potentiels de deux nouvelles normes :</w:t>
      </w:r>
    </w:p>
    <w:p w:rsidR="00D66E81" w:rsidRPr="00D66E81" w:rsidRDefault="00D66E81" w:rsidP="00135CBF">
      <w:pPr>
        <w:pStyle w:val="Heading5"/>
      </w:pPr>
      <w:r w:rsidRPr="00D66E81">
        <w:t>IFRS 9 Instruments financiers (applicables pour les périodes annuelles ouvertes à compter du 1er janvier 2018)</w:t>
      </w:r>
    </w:p>
    <w:p w:rsidR="00D66E81" w:rsidRPr="00D66E81" w:rsidRDefault="00D66E81" w:rsidP="00D66E81">
      <w:r w:rsidRPr="00D66E81">
        <w:t xml:space="preserve">Cette nouvelle norme comprend 3 volets distincts : </w:t>
      </w:r>
    </w:p>
    <w:p w:rsidR="00D66E81" w:rsidRPr="00D66E81" w:rsidRDefault="00D66E81" w:rsidP="00D66E81">
      <w:pPr>
        <w:pStyle w:val="ListParagraph"/>
      </w:pPr>
      <w:r w:rsidRPr="00D66E81">
        <w:lastRenderedPageBreak/>
        <w:t>Classification et évaluation des actifs/passifs financiers : IFRS 9 introduit une approche logique et unique de classification pour tous les actifs financiers, soit au coût amorti, soit à la juste valeur. Le groupe devra entre autres choisir entre la comptabilisation des gains et pertes sur d’éventuelles participations en résultat ou en capitaux propres (autres éléments du résultat global). A date, cette disposition n’aurait pas d’impact sur les comptes du groupe.</w:t>
      </w:r>
    </w:p>
    <w:p w:rsidR="00D66E81" w:rsidRPr="00D66E81" w:rsidRDefault="00D66E81" w:rsidP="00D66E81">
      <w:pPr>
        <w:pStyle w:val="ListParagraph"/>
      </w:pPr>
      <w:r w:rsidRPr="00D66E81">
        <w:t>Dépréciation : IFRS 9 instaure un nouveau modèle de dépréciation, qui nécessitera une reconnaissance plus rapide des pertes de crédit prévues. Cette disposition ne devrait pas avoir d’impact significatif sur les comptes du groupe.</w:t>
      </w:r>
    </w:p>
    <w:p w:rsidR="00D66E81" w:rsidRPr="00D66E81" w:rsidRDefault="00D66E81" w:rsidP="00D66E81">
      <w:pPr>
        <w:pStyle w:val="ListParagraph"/>
      </w:pPr>
      <w:r w:rsidRPr="00D66E81">
        <w:t>Comptabilité de couverture : cette disposition devrait être sans impact sur les comptes du groupe, celui-ci n’ayant, à date, aucun instrument dérivé désigné comme couverture.</w:t>
      </w:r>
    </w:p>
    <w:p w:rsidR="00D66E81" w:rsidRDefault="00D66E81" w:rsidP="00D66E81">
      <w:pPr>
        <w:pStyle w:val="Heading5"/>
      </w:pPr>
      <w:r w:rsidRPr="00D66E81">
        <w:t>IFRS 15 Produits des activités ordinaires tirés de contrats avec des clients (applicable pour les périodes annuelles ouvertes à compter du 1er janvier 2018)</w:t>
      </w:r>
    </w:p>
    <w:p w:rsidR="00D66E81" w:rsidRPr="00D66E81" w:rsidRDefault="00D66E81" w:rsidP="00D66E81">
      <w:r w:rsidRPr="00D66E81">
        <w:t>L’analyse préliminaire réalisée par le Groupe a conduit à identifier, sur l’ensemble des sujets pouvant avoir un impact sur la manière de comptabiliser le chiffre d’affaires dans les différents secteurs d’activités du Groupe, des thématiques susceptibles d’avoir un impact sur le chiffre d’affaires consolidé :</w:t>
      </w:r>
    </w:p>
    <w:p w:rsidR="00D66E81" w:rsidRPr="00D66E81" w:rsidRDefault="00D66E81" w:rsidP="00C81B17">
      <w:pPr>
        <w:pStyle w:val="Heading6"/>
      </w:pPr>
      <w:r w:rsidRPr="00D66E81">
        <w:t xml:space="preserve">Ventes de bureaux </w:t>
      </w:r>
    </w:p>
    <w:p w:rsidR="00D66E81" w:rsidRPr="00D66E81" w:rsidRDefault="00D66E81" w:rsidP="00CC6CB9">
      <w:pPr>
        <w:spacing w:after="0"/>
      </w:pPr>
      <w:r w:rsidRPr="00D66E81">
        <w:t xml:space="preserve">IMMOBEL devra utiliser la nouvelle guidance pour évaluer, au cas par cas, si au sein d’un contrat de ventes « Bureaux », la vente du terrain, le design et les constructions représentent des obligations de prestation distinctes. </w:t>
      </w:r>
    </w:p>
    <w:p w:rsidR="00D66E81" w:rsidRDefault="00D66E81" w:rsidP="00CC6CB9">
      <w:pPr>
        <w:spacing w:after="0"/>
      </w:pPr>
      <w:r w:rsidRPr="00D66E81">
        <w:t xml:space="preserve">La nouvelle norme pourrait également avoir un impact sur les projets qui satisferaient aux critères d’une reconnaissance progressive du résultat, notamment les projets rencontrant le troisième critère défini par IFRS 15.36 (« prestation créant un actif spécifique et donnant lieu à un droit exécutoire à un paiement au titre de la prestation effectuée jusqu’à la date considérée »). </w:t>
      </w:r>
    </w:p>
    <w:p w:rsidR="0019498B" w:rsidRDefault="0019498B" w:rsidP="00CC6CB9">
      <w:pPr>
        <w:spacing w:after="0"/>
      </w:pPr>
    </w:p>
    <w:p w:rsidR="0019498B" w:rsidRDefault="0019498B" w:rsidP="00CC6CB9">
      <w:pPr>
        <w:spacing w:after="0"/>
      </w:pPr>
      <w:r>
        <w:t>Le principal impact pourrait être la reconnaissance progressive du revenu et de la marge de certains projets.</w:t>
      </w:r>
    </w:p>
    <w:p w:rsidR="0019498B" w:rsidRPr="00D66E81" w:rsidRDefault="0019498B" w:rsidP="00CC6CB9">
      <w:pPr>
        <w:spacing w:after="0"/>
      </w:pPr>
    </w:p>
    <w:p w:rsidR="00D66E81" w:rsidRDefault="00D66E81" w:rsidP="00C81B17">
      <w:pPr>
        <w:pStyle w:val="Heading6"/>
        <w:spacing w:before="0"/>
      </w:pPr>
      <w:r w:rsidRPr="00D66E81">
        <w:t>Ventes de projet résidentiels</w:t>
      </w:r>
    </w:p>
    <w:p w:rsidR="00A3788A" w:rsidRPr="00CB7EA3" w:rsidRDefault="00A3788A" w:rsidP="00A3788A">
      <w:pPr>
        <w:spacing w:after="0"/>
      </w:pPr>
      <w:r w:rsidRPr="00CB7EA3">
        <w:t>L’analyse en cours doit déterminer dans quelle mesure les ventes de projets résidentiels résultent en une ou plusieurs obligations de performance. Certains projets intégrant la construction d’aménagements spécifiques pourraient aussi devoir être analysés plus en détails.</w:t>
      </w:r>
    </w:p>
    <w:p w:rsidR="00A3788A" w:rsidRPr="00CB7EA3" w:rsidRDefault="00A3788A" w:rsidP="00A3788A">
      <w:pPr>
        <w:spacing w:after="0"/>
      </w:pPr>
      <w:r w:rsidRPr="00CB7EA3">
        <w:t xml:space="preserve">Le Groupe s’attend à ce que la nouvelle norme n’impacte pas le principe actuel de reconnaître progressivement le revenu sur les projets en cours tant en Belgique (reconnaissance du revenu progressive suivant le transfert de propriété organisé par la Loi </w:t>
      </w:r>
      <w:proofErr w:type="spellStart"/>
      <w:r w:rsidRPr="00CB7EA3">
        <w:t>Breyne</w:t>
      </w:r>
      <w:proofErr w:type="spellEnd"/>
      <w:r w:rsidRPr="00CB7EA3">
        <w:t xml:space="preserve">) qu’au Luxembourg. </w:t>
      </w:r>
    </w:p>
    <w:p w:rsidR="00A3788A" w:rsidRPr="00CB7EA3" w:rsidRDefault="00A3788A" w:rsidP="00A3788A">
      <w:pPr>
        <w:spacing w:after="0"/>
      </w:pPr>
      <w:r w:rsidRPr="00CB7EA3">
        <w:t xml:space="preserve">La manière de déterminer cet avancement devra néanmoins être confirmée sur base des nouvelles dispositions. </w:t>
      </w:r>
    </w:p>
    <w:p w:rsidR="00A3788A" w:rsidRPr="00A3788A" w:rsidRDefault="00A3788A" w:rsidP="00A3788A">
      <w:r w:rsidRPr="00CB7EA3">
        <w:t>Le groupe poursuivra au cours du second semestre l’analyse des impacts de cette nouvelle norme, tenant compte des pratiques du secteur et des interprétations qui seront communément admises.</w:t>
      </w:r>
    </w:p>
    <w:p w:rsidR="00D66E81" w:rsidRPr="00D66E81" w:rsidRDefault="00D66E81" w:rsidP="00C81B17">
      <w:pPr>
        <w:pStyle w:val="Heading6"/>
      </w:pPr>
      <w:r w:rsidRPr="00D66E81">
        <w:t xml:space="preserve">Lotissement </w:t>
      </w:r>
    </w:p>
    <w:p w:rsidR="00A3788A" w:rsidRDefault="00D66E81" w:rsidP="00D66E81">
      <w:bookmarkStart w:id="17" w:name="_Hlk491847157"/>
      <w:r w:rsidRPr="00D66E81">
        <w:t>Le Groupe n’anticipe pas d’impact sur ce segment d’activité</w:t>
      </w:r>
      <w:bookmarkEnd w:id="17"/>
      <w:r w:rsidRPr="00D66E81">
        <w:t>, le revenu des ventes restant comptabilisé au transfert de l’actif.</w:t>
      </w:r>
    </w:p>
    <w:p w:rsidR="00D66E81" w:rsidRPr="00D66E81" w:rsidRDefault="00D66E81" w:rsidP="00D66E81">
      <w:r w:rsidRPr="00D66E81">
        <w:t>Cet exercice devrait également permettre de communiquer, début 2018, les impacts chiffrés de la transition vers les nouvelles normes.</w:t>
      </w:r>
    </w:p>
    <w:p w:rsidR="00D66E81" w:rsidRPr="00D66E81" w:rsidRDefault="00D66E81" w:rsidP="00D66E81">
      <w:r w:rsidRPr="00D66E81">
        <w:lastRenderedPageBreak/>
        <w:t>L’analyse des incidences de l’application des autres normes, amendements et interprétations publiées sont en cours, principalement :</w:t>
      </w:r>
    </w:p>
    <w:p w:rsidR="00D66E81" w:rsidRPr="00D66E81" w:rsidRDefault="00D66E81" w:rsidP="00135CBF">
      <w:pPr>
        <w:pStyle w:val="ListParagraph"/>
      </w:pPr>
      <w:r w:rsidRPr="00D66E81">
        <w:t>Amendements IFRS 2 – Paiement fondé sur des actions : Classement et évaluation des transactions dont le paiement est fondé sur des actions (applicables pour les périodes annuelles ouvertes à compter du 1er janvier 2018, mais non encore adoptés au niveau européen)</w:t>
      </w:r>
    </w:p>
    <w:p w:rsidR="00D66E81" w:rsidRPr="00D66E81" w:rsidRDefault="00D66E81" w:rsidP="00135CBF">
      <w:pPr>
        <w:pStyle w:val="ListParagraph"/>
      </w:pPr>
      <w:r w:rsidRPr="00D66E81">
        <w:t>IFRS 16 Contrats de location (applicable pour les périodes annuelles ouvertes à compter du 1er janvier 2019, mais non encore adopté au niveau européen)</w:t>
      </w:r>
    </w:p>
    <w:p w:rsidR="00D66E81" w:rsidRPr="00D66E81" w:rsidRDefault="00D66E81" w:rsidP="00135CBF">
      <w:pPr>
        <w:pStyle w:val="ListParagraph"/>
      </w:pPr>
      <w:r w:rsidRPr="00D66E81">
        <w:t>IFRS 17 – Contrats d’assurance (applicable pour les périodes annuelles ouvertes à compter du 1er janvier 2021, mais non encore adopté au niveau européen)</w:t>
      </w:r>
    </w:p>
    <w:p w:rsidR="00D66E81" w:rsidRPr="00D66E81" w:rsidRDefault="00D66E81" w:rsidP="00135CBF">
      <w:pPr>
        <w:pStyle w:val="ListParagraph"/>
      </w:pPr>
      <w:r w:rsidRPr="00D66E81">
        <w:t>Amendements à IAS 40 Transferts des immeubles de placement (applicables pour les périodes annuelles ouvertes à compter du 1er janvier 2018, mais non encore adoptés au niveau européen</w:t>
      </w:r>
    </w:p>
    <w:p w:rsidR="00D66E81" w:rsidRPr="00D66E81" w:rsidRDefault="00D66E81" w:rsidP="00135CBF">
      <w:pPr>
        <w:pStyle w:val="ListParagraph"/>
      </w:pPr>
      <w:r w:rsidRPr="00D66E81">
        <w:t>IFRIC 22 – Transactions en monnaie étrangère et contrepartie anticipée (applicable pour les périodes annuelles ouvertes à compter du 1er janvier 2018, mais non encore adopté au niveau européen)</w:t>
      </w:r>
    </w:p>
    <w:p w:rsidR="00135CBF" w:rsidRDefault="00D66E81" w:rsidP="00135CBF">
      <w:pPr>
        <w:pStyle w:val="ListParagraph"/>
      </w:pPr>
      <w:r w:rsidRPr="00D66E81">
        <w:t>IFRIC 23 – Positions fiscales incertaines (applicable pour les périodes annuelles ouvertes à compter du 1er janvier 2019, mais non encore adopté au niveau européen)</w:t>
      </w:r>
    </w:p>
    <w:p w:rsidR="00135CBF" w:rsidRPr="00135CBF" w:rsidRDefault="00967AB5" w:rsidP="00135CBF">
      <w:pPr>
        <w:pStyle w:val="Heading3"/>
      </w:pPr>
      <w:r>
        <w:t xml:space="preserve">Note 3. </w:t>
      </w:r>
      <w:r w:rsidR="00135CBF">
        <w:t>Principaux jugements et estimations</w:t>
      </w:r>
    </w:p>
    <w:p w:rsidR="00135CBF" w:rsidRPr="00135CBF" w:rsidRDefault="00135CBF" w:rsidP="00135CBF">
      <w:r w:rsidRPr="00135CBF">
        <w:t>Les principaux jugements et estimations sont identiques à ceux repris en page 17/57 (Comptes Consolidés) du rapport annuel 2016. Ils concernent essentiellement les actifs d’impôts différés, les dépréciations d’actifs, les provisions, les projets en stocks et les contrats de construction.</w:t>
      </w:r>
    </w:p>
    <w:p w:rsidR="00135CBF" w:rsidRPr="00135CBF" w:rsidRDefault="00967AB5" w:rsidP="00135CBF">
      <w:pPr>
        <w:pStyle w:val="Heading3"/>
      </w:pPr>
      <w:r>
        <w:t xml:space="preserve">Note 4. </w:t>
      </w:r>
      <w:r w:rsidR="00135CBF">
        <w:t>Principaux risques et incertitudes</w:t>
      </w:r>
    </w:p>
    <w:p w:rsidR="00135CBF" w:rsidRPr="00135CBF" w:rsidRDefault="00135CBF" w:rsidP="00135CBF">
      <w:r w:rsidRPr="00135CBF">
        <w:t>Le Groupe IMMOBEL est confronté aux risques et incertitudes inhérents ou liés au secteur du développement immobilier, ainsi que ceux liés à la conjoncture et au monde financier.</w:t>
      </w:r>
    </w:p>
    <w:p w:rsidR="00135CBF" w:rsidRDefault="00135CBF" w:rsidP="00135CBF">
      <w:r w:rsidRPr="00135CBF">
        <w:t>Le Conseil d’Administration considère que les principaux risques et incertitudes repris en pages 7/18 et suivantes (Rapport de Gestion) du rapport annuel 2016 restent pertinents pour les mois restants de l’exercice 2017.</w:t>
      </w:r>
    </w:p>
    <w:p w:rsidR="00135CBF" w:rsidRDefault="00967AB5" w:rsidP="00135CBF">
      <w:pPr>
        <w:pStyle w:val="Heading3"/>
      </w:pPr>
      <w:r>
        <w:t>Note 5. Périmètre de consolidation</w:t>
      </w:r>
    </w:p>
    <w:p w:rsidR="00967AB5" w:rsidRPr="00967AB5" w:rsidRDefault="00967AB5" w:rsidP="00967AB5">
      <w:r w:rsidRPr="00967AB5">
        <w:rPr>
          <w:noProof/>
        </w:rPr>
        <w:drawing>
          <wp:inline distT="0" distB="0" distL="0" distR="0">
            <wp:extent cx="5939790" cy="751755"/>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9790" cy="751755"/>
                    </a:xfrm>
                    <a:prstGeom prst="rect">
                      <a:avLst/>
                    </a:prstGeom>
                    <a:noFill/>
                    <a:ln>
                      <a:noFill/>
                    </a:ln>
                  </pic:spPr>
                </pic:pic>
              </a:graphicData>
            </a:graphic>
          </wp:inline>
        </w:drawing>
      </w:r>
    </w:p>
    <w:p w:rsidR="002D7DDF" w:rsidRPr="002D7DDF" w:rsidRDefault="002D7DDF" w:rsidP="002D7DDF">
      <w:r w:rsidRPr="002D7DDF">
        <w:t>Durant le premier semestre de l'exercice 2017, le périmètre de consolidation a enregistré les mouvements suivants :</w:t>
      </w:r>
      <w:r w:rsidRPr="002D7DDF">
        <w:tab/>
      </w:r>
      <w:r w:rsidRPr="002D7DDF">
        <w:tab/>
      </w:r>
      <w:r w:rsidRPr="002D7DDF">
        <w:tab/>
      </w:r>
      <w:r w:rsidRPr="002D7DDF">
        <w:tab/>
      </w:r>
      <w:r w:rsidRPr="002D7DDF">
        <w:tab/>
      </w:r>
      <w:r w:rsidRPr="002D7DDF">
        <w:tab/>
      </w:r>
      <w:r w:rsidRPr="002D7DDF">
        <w:tab/>
      </w:r>
    </w:p>
    <w:p w:rsidR="002D7DDF" w:rsidRPr="002D7DDF" w:rsidRDefault="002D7DDF" w:rsidP="002D7DDF">
      <w:pPr>
        <w:pStyle w:val="ListParagraph"/>
      </w:pPr>
      <w:r w:rsidRPr="002D7DDF">
        <w:t>Cession des titres de la société KONS, détenue à 33,33%</w:t>
      </w:r>
      <w:r>
        <w:t> ;</w:t>
      </w:r>
    </w:p>
    <w:p w:rsidR="002D7DDF" w:rsidRPr="002D7DDF" w:rsidRDefault="002D7DDF" w:rsidP="002D7DDF">
      <w:pPr>
        <w:pStyle w:val="ListParagraph"/>
      </w:pPr>
      <w:r w:rsidRPr="002D7DDF">
        <w:t>Cession des titres de la société GREEN DOG, détenue à 100%</w:t>
      </w:r>
      <w:r>
        <w:t xml:space="preserve"> </w:t>
      </w:r>
      <w:r w:rsidRPr="002D7DDF">
        <w:t>;</w:t>
      </w:r>
      <w:r w:rsidRPr="002D7DDF">
        <w:tab/>
      </w:r>
      <w:r w:rsidRPr="002D7DDF">
        <w:tab/>
      </w:r>
      <w:r w:rsidRPr="002D7DDF">
        <w:tab/>
      </w:r>
    </w:p>
    <w:p w:rsidR="002D7DDF" w:rsidRPr="002D7DDF" w:rsidRDefault="002D7DDF" w:rsidP="002D7DDF">
      <w:pPr>
        <w:pStyle w:val="ListParagraph"/>
      </w:pPr>
      <w:r w:rsidRPr="002D7DDF">
        <w:t>Mise en liquidation de la société IMMOBILIËN VENNOOTSCHAP VAN VLAANDEREN, détenue à 100%</w:t>
      </w:r>
      <w:r>
        <w:t> ;</w:t>
      </w:r>
    </w:p>
    <w:p w:rsidR="002D7DDF" w:rsidRPr="002D7DDF" w:rsidRDefault="002D7DDF" w:rsidP="002D7DDF">
      <w:pPr>
        <w:pStyle w:val="ListParagraph"/>
      </w:pPr>
      <w:r w:rsidRPr="002D7DDF">
        <w:t>Mise en liquidation de la société FANSTER ENTERPRISE, détenue à 50%</w:t>
      </w:r>
      <w:r>
        <w:t> ;</w:t>
      </w:r>
      <w:r w:rsidRPr="002D7DDF">
        <w:tab/>
      </w:r>
      <w:r w:rsidRPr="002D7DDF">
        <w:tab/>
      </w:r>
      <w:r w:rsidRPr="002D7DDF">
        <w:tab/>
      </w:r>
    </w:p>
    <w:p w:rsidR="00967AB5" w:rsidRPr="00967AB5" w:rsidRDefault="002D7DDF" w:rsidP="002D7DDF">
      <w:pPr>
        <w:pStyle w:val="ListParagraph"/>
        <w:rPr>
          <w:rFonts w:asciiTheme="majorHAnsi" w:eastAsiaTheme="majorEastAsia" w:hAnsiTheme="majorHAnsi" w:cstheme="majorBidi"/>
          <w:b/>
          <w:color w:val="2E3A74"/>
          <w:sz w:val="24"/>
          <w:szCs w:val="24"/>
        </w:rPr>
      </w:pPr>
      <w:r w:rsidRPr="002D7DDF">
        <w:t>Constitution des sociétés :</w:t>
      </w:r>
      <w:r w:rsidRPr="002D7DDF">
        <w:tab/>
        <w:t>RAC4 DEVELOPMENT, détenue à 40%</w:t>
      </w:r>
      <w:r>
        <w:t xml:space="preserve"> </w:t>
      </w:r>
      <w:r w:rsidR="00910907">
        <w:t>et ILOT ST ROCH, détenue à 100%</w:t>
      </w:r>
    </w:p>
    <w:p w:rsidR="00135CBF" w:rsidRPr="002D7DDF" w:rsidRDefault="00967AB5" w:rsidP="00967AB5">
      <w:pPr>
        <w:pStyle w:val="ListParagraph"/>
        <w:numPr>
          <w:ilvl w:val="0"/>
          <w:numId w:val="0"/>
        </w:numPr>
        <w:ind w:left="357"/>
        <w:rPr>
          <w:rFonts w:asciiTheme="majorHAnsi" w:eastAsiaTheme="majorEastAsia" w:hAnsiTheme="majorHAnsi" w:cstheme="majorBidi"/>
          <w:b/>
          <w:color w:val="2E3A74"/>
          <w:sz w:val="24"/>
          <w:szCs w:val="24"/>
        </w:rPr>
      </w:pPr>
      <w:r>
        <w:tab/>
      </w:r>
      <w:r>
        <w:tab/>
      </w:r>
      <w:r>
        <w:tab/>
      </w:r>
      <w:r>
        <w:tab/>
      </w:r>
      <w:r>
        <w:tab/>
      </w:r>
      <w:r>
        <w:tab/>
      </w:r>
      <w:r>
        <w:tab/>
      </w:r>
      <w:r w:rsidR="002D7DDF" w:rsidRPr="002D7DDF">
        <w:tab/>
      </w:r>
      <w:r w:rsidR="002D7DDF" w:rsidRPr="002D7DDF">
        <w:tab/>
      </w:r>
      <w:r w:rsidR="002D7DDF" w:rsidRPr="002D7DDF">
        <w:tab/>
      </w:r>
      <w:r w:rsidR="002D7DDF">
        <w:tab/>
      </w:r>
      <w:r w:rsidR="002D7DDF">
        <w:tab/>
      </w:r>
      <w:r w:rsidR="00135CBF">
        <w:br w:type="page"/>
      </w:r>
    </w:p>
    <w:p w:rsidR="00135CBF" w:rsidRDefault="00A04BF5" w:rsidP="00135CBF">
      <w:pPr>
        <w:pStyle w:val="Heading3"/>
      </w:pPr>
      <w:r>
        <w:lastRenderedPageBreak/>
        <w:t xml:space="preserve">Note 6. </w:t>
      </w:r>
      <w:r w:rsidR="00135CBF">
        <w:t>Information sectorielle – Données financières par secteur</w:t>
      </w:r>
    </w:p>
    <w:p w:rsidR="00135CBF" w:rsidRDefault="00135CBF" w:rsidP="00135CBF">
      <w:r>
        <w:t>L’information sectorielle est présentée en tenant compte des secteurs opérationnels. Les résultats et les éléments d'actif et de passif des secteurs comprennent des éléments attribuables à un secteur, soit directement, soit sur la base d'une clé de répartition. L’activité de base du Groupe, le développement immobilier, englobe les activités de</w:t>
      </w:r>
      <w:proofErr w:type="gramStart"/>
      <w:r>
        <w:t xml:space="preserve"> «bureaux</w:t>
      </w:r>
      <w:proofErr w:type="gramEnd"/>
      <w:r>
        <w:t xml:space="preserve">», de «résidentiel», et de «lotissement». </w:t>
      </w:r>
    </w:p>
    <w:p w:rsidR="00135CBF" w:rsidRDefault="00135CBF" w:rsidP="00135CBF">
      <w:r>
        <w:t xml:space="preserve">Il n’y a pas de transaction entre les différents secteurs. L’activité du Groupe s’exerce en Belgique, au Grand-Duché de Luxembourg et en Pologne. La répartition du chiffre d’affaires par pays est fonction du pays où les prestations sont réalisées. </w:t>
      </w:r>
    </w:p>
    <w:p w:rsidR="00135CBF" w:rsidRDefault="00135CBF" w:rsidP="00135CBF">
      <w:r>
        <w:t>Conformément aux règles IFRS, la Société applique depuis le 1er janvier 2014, la norme IFRS 11.  Cette norme modifie fortement la lecture des états financiers de la Société sans toutefois modifier le résultat net et les capitaux propres. Le Conseil d'Administration considère que les données financières en application de la méthode de consolidation proportionnelle (</w:t>
      </w:r>
      <w:proofErr w:type="gramStart"/>
      <w:r>
        <w:t>hors</w:t>
      </w:r>
      <w:proofErr w:type="gramEnd"/>
      <w:r>
        <w:t xml:space="preserve"> IFRS 11) donnent une meilleure image des activités et des états financiers. Ces états financiers internes sont ceux utilisés par le Conseil d'Administration et le Management pour suivre les performances financières du Groupe et sont présentés ci-après.</w:t>
      </w:r>
    </w:p>
    <w:p w:rsidR="00135CBF" w:rsidRDefault="00AA4EE7" w:rsidP="00135CBF">
      <w:r w:rsidRPr="00AA4EE7">
        <w:rPr>
          <w:noProof/>
        </w:rPr>
        <w:drawing>
          <wp:inline distT="0" distB="0" distL="0" distR="0">
            <wp:extent cx="5939790" cy="3517469"/>
            <wp:effectExtent l="0" t="0" r="381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9790" cy="3517469"/>
                    </a:xfrm>
                    <a:prstGeom prst="rect">
                      <a:avLst/>
                    </a:prstGeom>
                    <a:noFill/>
                    <a:ln>
                      <a:noFill/>
                    </a:ln>
                  </pic:spPr>
                </pic:pic>
              </a:graphicData>
            </a:graphic>
          </wp:inline>
        </w:drawing>
      </w:r>
    </w:p>
    <w:p w:rsidR="00135CBF" w:rsidRDefault="00135CBF">
      <w:pPr>
        <w:spacing w:after="80"/>
        <w:jc w:val="left"/>
      </w:pPr>
      <w:r>
        <w:br w:type="page"/>
      </w:r>
    </w:p>
    <w:p w:rsidR="009354EA" w:rsidRDefault="005B2906">
      <w:pPr>
        <w:spacing w:after="80"/>
        <w:jc w:val="left"/>
      </w:pPr>
      <w:r w:rsidRPr="005B2906">
        <w:rPr>
          <w:noProof/>
        </w:rPr>
        <w:lastRenderedPageBreak/>
        <w:drawing>
          <wp:inline distT="0" distB="0" distL="0" distR="0">
            <wp:extent cx="5939790" cy="6710107"/>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9790" cy="6710107"/>
                    </a:xfrm>
                    <a:prstGeom prst="rect">
                      <a:avLst/>
                    </a:prstGeom>
                    <a:noFill/>
                    <a:ln>
                      <a:noFill/>
                    </a:ln>
                  </pic:spPr>
                </pic:pic>
              </a:graphicData>
            </a:graphic>
          </wp:inline>
        </w:drawing>
      </w:r>
    </w:p>
    <w:p w:rsidR="008A5F12" w:rsidRDefault="00400C17" w:rsidP="008A5F12">
      <w:pPr>
        <w:spacing w:after="80"/>
        <w:jc w:val="left"/>
      </w:pPr>
      <w:r w:rsidRPr="00400C17">
        <w:rPr>
          <w:noProof/>
        </w:rPr>
        <w:lastRenderedPageBreak/>
        <w:drawing>
          <wp:inline distT="0" distB="0" distL="0" distR="0">
            <wp:extent cx="5939790" cy="4399157"/>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9790" cy="4399157"/>
                    </a:xfrm>
                    <a:prstGeom prst="rect">
                      <a:avLst/>
                    </a:prstGeom>
                    <a:noFill/>
                    <a:ln>
                      <a:noFill/>
                    </a:ln>
                  </pic:spPr>
                </pic:pic>
              </a:graphicData>
            </a:graphic>
          </wp:inline>
        </w:drawing>
      </w:r>
    </w:p>
    <w:p w:rsidR="00D42308" w:rsidRDefault="00D42308" w:rsidP="008A5F12">
      <w:pPr>
        <w:spacing w:after="80"/>
        <w:jc w:val="left"/>
      </w:pPr>
    </w:p>
    <w:p w:rsidR="00D42308" w:rsidRDefault="00400C17" w:rsidP="008A5F12">
      <w:pPr>
        <w:spacing w:after="80"/>
        <w:jc w:val="left"/>
      </w:pPr>
      <w:r w:rsidRPr="00400C17">
        <w:rPr>
          <w:noProof/>
        </w:rPr>
        <w:drawing>
          <wp:inline distT="0" distB="0" distL="0" distR="0">
            <wp:extent cx="5939790" cy="1141553"/>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9790" cy="1141553"/>
                    </a:xfrm>
                    <a:prstGeom prst="rect">
                      <a:avLst/>
                    </a:prstGeom>
                    <a:noFill/>
                    <a:ln>
                      <a:noFill/>
                    </a:ln>
                  </pic:spPr>
                </pic:pic>
              </a:graphicData>
            </a:graphic>
          </wp:inline>
        </w:drawing>
      </w:r>
    </w:p>
    <w:p w:rsidR="00D42308" w:rsidRDefault="00D42308" w:rsidP="008A5F12">
      <w:pPr>
        <w:spacing w:after="80"/>
        <w:jc w:val="left"/>
      </w:pPr>
    </w:p>
    <w:p w:rsidR="008A5F12" w:rsidRDefault="008A5F12" w:rsidP="008A5F12">
      <w:pPr>
        <w:spacing w:after="80"/>
        <w:jc w:val="left"/>
      </w:pPr>
      <w:r>
        <w:t xml:space="preserve">Les </w:t>
      </w:r>
      <w:r w:rsidRPr="00027A37">
        <w:rPr>
          <w:b/>
        </w:rPr>
        <w:t>coentreprises</w:t>
      </w:r>
      <w:r>
        <w:t xml:space="preserve"> sont, pour l'information sectorielle, consolidée selon la méthode de l’intégration proportionnelle. Les ajustements résultent de l'application de la norme IFRS 11, entraînant la consolidation des coentreprises selon la méthode de la mise en équivalence.</w:t>
      </w:r>
      <w:r>
        <w:tab/>
      </w:r>
      <w:r>
        <w:tab/>
      </w:r>
      <w:r>
        <w:tab/>
      </w:r>
      <w:r>
        <w:tab/>
      </w:r>
      <w:r>
        <w:tab/>
      </w:r>
      <w:r>
        <w:tab/>
      </w:r>
    </w:p>
    <w:p w:rsidR="00135CBF" w:rsidRDefault="008A5F12" w:rsidP="008A5F12">
      <w:pPr>
        <w:spacing w:after="80"/>
        <w:jc w:val="left"/>
      </w:pPr>
      <w:r w:rsidRPr="008A5F12">
        <w:rPr>
          <w:sz w:val="16"/>
          <w:vertAlign w:val="superscript"/>
        </w:rPr>
        <w:t>1</w:t>
      </w:r>
      <w:r w:rsidRPr="008A5F12">
        <w:rPr>
          <w:sz w:val="16"/>
        </w:rPr>
        <w:t>. Eléments non affectés : Actif : Actifs d’impôts différés - Autres actifs financiers non courants - Autres actifs non courants - Créances fiscales - Autres actifs financiers courants -Trésorerie et équivalents de trésorerie ; Passif : Passifs d’impôts différés - Dettes financières -Dettes fiscales - Instruments financiers dérivés. Les actifs non courants sont affectés aux secteurs sur la base d'une clé de répartition.</w:t>
      </w:r>
      <w:r w:rsidR="00135CBF">
        <w:br w:type="page"/>
      </w:r>
    </w:p>
    <w:p w:rsidR="00D42308" w:rsidRDefault="00027A37" w:rsidP="00D42308">
      <w:pPr>
        <w:pStyle w:val="Heading3"/>
      </w:pPr>
      <w:r>
        <w:lastRenderedPageBreak/>
        <w:t xml:space="preserve">Note 7. </w:t>
      </w:r>
      <w:r w:rsidR="00D42308">
        <w:t>Chiffres d’affaires</w:t>
      </w:r>
    </w:p>
    <w:p w:rsidR="00027A37" w:rsidRPr="00027A37" w:rsidRDefault="00027A37" w:rsidP="00027A37">
      <w:r w:rsidRPr="00027A37">
        <w:rPr>
          <w:noProof/>
        </w:rPr>
        <w:drawing>
          <wp:inline distT="0" distB="0" distL="0" distR="0">
            <wp:extent cx="5939790" cy="900249"/>
            <wp:effectExtent l="0" t="0" r="381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9790" cy="900249"/>
                    </a:xfrm>
                    <a:prstGeom prst="rect">
                      <a:avLst/>
                    </a:prstGeom>
                    <a:noFill/>
                    <a:ln>
                      <a:noFill/>
                    </a:ln>
                  </pic:spPr>
                </pic:pic>
              </a:graphicData>
            </a:graphic>
          </wp:inline>
        </w:drawing>
      </w:r>
    </w:p>
    <w:p w:rsidR="00D42308" w:rsidRDefault="00D42308" w:rsidP="00E032D9">
      <w:pPr>
        <w:spacing w:after="80"/>
        <w:jc w:val="left"/>
      </w:pPr>
      <w:r>
        <w:t>La totalité du chiffre d’affaires ci-dessus est réalisée en Belgique.</w:t>
      </w:r>
      <w:r>
        <w:tab/>
      </w:r>
      <w:r>
        <w:tab/>
      </w:r>
      <w:r>
        <w:tab/>
      </w:r>
      <w:r>
        <w:tab/>
      </w:r>
      <w:r>
        <w:tab/>
      </w:r>
    </w:p>
    <w:p w:rsidR="00027A37" w:rsidRDefault="00D42308" w:rsidP="00E032D9">
      <w:pPr>
        <w:spacing w:after="80"/>
        <w:jc w:val="left"/>
      </w:pPr>
      <w:r>
        <w:t>La diversification du portefeuille "clients" du Groupe lui garantit son indépendance sur le marché.</w:t>
      </w:r>
      <w:r>
        <w:tab/>
      </w:r>
    </w:p>
    <w:p w:rsidR="00027A37" w:rsidRDefault="00D42308" w:rsidP="00E032D9">
      <w:pPr>
        <w:spacing w:after="80"/>
        <w:jc w:val="left"/>
      </w:pPr>
      <w:r>
        <w:t xml:space="preserve">Les promotions Chambon, Ste Anne et Jardins du Nord à Bruxelles, Lake Front à Knokke-Heist, Riverview à Nieuport, </w:t>
      </w:r>
      <w:proofErr w:type="spellStart"/>
      <w:r>
        <w:t>Gastuche</w:t>
      </w:r>
      <w:proofErr w:type="spellEnd"/>
      <w:r>
        <w:t xml:space="preserve"> à Wavre, </w:t>
      </w:r>
      <w:proofErr w:type="spellStart"/>
      <w:r>
        <w:t>O'Sea</w:t>
      </w:r>
      <w:proofErr w:type="spellEnd"/>
      <w:r>
        <w:t xml:space="preserve"> à Ostende contribuent essentiellement au chiffre d'affaires "Résidentiel". Ce chiffre d'affaires est également influencé par la cession du projet Green Dog à Bruxelles. </w:t>
      </w:r>
    </w:p>
    <w:p w:rsidR="00D42308" w:rsidRDefault="00D42308" w:rsidP="00E032D9">
      <w:pPr>
        <w:spacing w:after="80"/>
        <w:jc w:val="left"/>
      </w:pPr>
      <w:r>
        <w:t xml:space="preserve">L'activité du département Lotissement a été marquée par les ventes notamment dans les lotissements du Verger de </w:t>
      </w:r>
      <w:proofErr w:type="spellStart"/>
      <w:r>
        <w:t>Fayenvois</w:t>
      </w:r>
      <w:proofErr w:type="spellEnd"/>
      <w:r>
        <w:t xml:space="preserve"> (</w:t>
      </w:r>
      <w:proofErr w:type="spellStart"/>
      <w:r>
        <w:t>Grivegnée</w:t>
      </w:r>
      <w:proofErr w:type="spellEnd"/>
      <w:r>
        <w:t>-Liège), du Domaine des Vallées (</w:t>
      </w:r>
      <w:proofErr w:type="spellStart"/>
      <w:r>
        <w:t>Gastuche</w:t>
      </w:r>
      <w:proofErr w:type="spellEnd"/>
      <w:r>
        <w:t xml:space="preserve">-Grez-Doiceau), de </w:t>
      </w:r>
      <w:proofErr w:type="spellStart"/>
      <w:r>
        <w:t>Hevenzijde</w:t>
      </w:r>
      <w:proofErr w:type="spellEnd"/>
      <w:r>
        <w:t xml:space="preserve"> (</w:t>
      </w:r>
      <w:proofErr w:type="spellStart"/>
      <w:r>
        <w:t>Lombardsijde</w:t>
      </w:r>
      <w:proofErr w:type="spellEnd"/>
      <w:r>
        <w:t xml:space="preserve">-Middelkerke), de </w:t>
      </w:r>
      <w:proofErr w:type="spellStart"/>
      <w:r>
        <w:t>Beaufays</w:t>
      </w:r>
      <w:proofErr w:type="spellEnd"/>
      <w:r>
        <w:t xml:space="preserve"> et de Soignies.</w:t>
      </w:r>
      <w:r>
        <w:tab/>
      </w:r>
      <w:r>
        <w:tab/>
      </w:r>
      <w:r>
        <w:tab/>
      </w:r>
      <w:r>
        <w:tab/>
      </w:r>
      <w:r>
        <w:tab/>
      </w:r>
      <w:r>
        <w:tab/>
      </w:r>
      <w:r>
        <w:tab/>
      </w:r>
    </w:p>
    <w:p w:rsidR="00D42308" w:rsidRDefault="00027A37" w:rsidP="00D42308">
      <w:pPr>
        <w:pStyle w:val="Heading3"/>
      </w:pPr>
      <w:r>
        <w:t xml:space="preserve">Note 8. </w:t>
      </w:r>
      <w:r w:rsidR="00D42308">
        <w:t>Autres produits opérationnels</w:t>
      </w:r>
    </w:p>
    <w:p w:rsidR="00D42308" w:rsidRDefault="00D42308">
      <w:pPr>
        <w:spacing w:after="80"/>
        <w:jc w:val="left"/>
      </w:pPr>
      <w:r w:rsidRPr="00D42308">
        <w:rPr>
          <w:noProof/>
        </w:rPr>
        <w:drawing>
          <wp:inline distT="0" distB="0" distL="0" distR="0">
            <wp:extent cx="5939790" cy="1192416"/>
            <wp:effectExtent l="0" t="0" r="381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9790" cy="1192416"/>
                    </a:xfrm>
                    <a:prstGeom prst="rect">
                      <a:avLst/>
                    </a:prstGeom>
                    <a:noFill/>
                    <a:ln>
                      <a:noFill/>
                    </a:ln>
                  </pic:spPr>
                </pic:pic>
              </a:graphicData>
            </a:graphic>
          </wp:inline>
        </w:drawing>
      </w:r>
    </w:p>
    <w:p w:rsidR="00D42308" w:rsidRDefault="00D42308" w:rsidP="00D42308">
      <w:pPr>
        <w:spacing w:after="80"/>
      </w:pPr>
      <w:r>
        <w:t xml:space="preserve">Pour </w:t>
      </w:r>
      <w:r w:rsidRPr="00D42308">
        <w:t>rappel, depuis le 1er juillet 2016, les produits locatifs des projets en attente de développement sont comptabilisés en diminution de la rubrique "Stocks". Il s'agit des projets Lebeau à Bruxelles, acquis en 2014, et Centre Etoile à Luxembourg, acquis en 2016.</w:t>
      </w:r>
      <w:r>
        <w:tab/>
      </w:r>
    </w:p>
    <w:p w:rsidR="005B5479" w:rsidRDefault="005B5479" w:rsidP="00D42308">
      <w:pPr>
        <w:spacing w:after="80"/>
      </w:pPr>
    </w:p>
    <w:p w:rsidR="0019498B" w:rsidRDefault="0019498B" w:rsidP="00D42308">
      <w:pPr>
        <w:spacing w:after="80"/>
      </w:pPr>
      <w:r w:rsidRPr="00074A4F">
        <w:t xml:space="preserve">Les </w:t>
      </w:r>
      <w:r w:rsidR="00F46B25" w:rsidRPr="00074A4F">
        <w:t>chiffres</w:t>
      </w:r>
      <w:r w:rsidRPr="00074A4F">
        <w:t xml:space="preserve"> du</w:t>
      </w:r>
      <w:r w:rsidR="00074A4F" w:rsidRPr="00074A4F">
        <w:t xml:space="preserve"> 30/06/2016 étaient </w:t>
      </w:r>
      <w:r w:rsidR="00074A4F">
        <w:t>principalement</w:t>
      </w:r>
      <w:r w:rsidR="00074A4F" w:rsidRPr="00074A4F">
        <w:t xml:space="preserve"> influencés</w:t>
      </w:r>
      <w:r w:rsidR="00074A4F">
        <w:t xml:space="preserve"> par les opérations liées à la fusion IMMOBEL / ALLFIN GROUP.</w:t>
      </w:r>
    </w:p>
    <w:p w:rsidR="00D42308" w:rsidRDefault="00027A37" w:rsidP="00D42308">
      <w:pPr>
        <w:pStyle w:val="Heading3"/>
      </w:pPr>
      <w:r>
        <w:t xml:space="preserve">Note 9. </w:t>
      </w:r>
      <w:r w:rsidR="00D42308">
        <w:t>Coûts des ventes</w:t>
      </w:r>
    </w:p>
    <w:p w:rsidR="00D42308" w:rsidRDefault="009E5257" w:rsidP="00D42308">
      <w:r w:rsidRPr="009E5257">
        <w:rPr>
          <w:noProof/>
        </w:rPr>
        <w:drawing>
          <wp:inline distT="0" distB="0" distL="0" distR="0">
            <wp:extent cx="5939790" cy="900249"/>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9790" cy="900249"/>
                    </a:xfrm>
                    <a:prstGeom prst="rect">
                      <a:avLst/>
                    </a:prstGeom>
                    <a:noFill/>
                    <a:ln>
                      <a:noFill/>
                    </a:ln>
                  </pic:spPr>
                </pic:pic>
              </a:graphicData>
            </a:graphic>
          </wp:inline>
        </w:drawing>
      </w:r>
    </w:p>
    <w:p w:rsidR="00D42308" w:rsidRPr="00D42308" w:rsidRDefault="00D42308" w:rsidP="00D42308">
      <w:proofErr w:type="gramStart"/>
      <w:r w:rsidRPr="00D42308">
        <w:t>et</w:t>
      </w:r>
      <w:proofErr w:type="gramEnd"/>
      <w:r w:rsidRPr="00D42308">
        <w:t xml:space="preserve"> sont relatifs aux chiffre d’affaires et projets ci-dessus en note 7.</w:t>
      </w:r>
    </w:p>
    <w:p w:rsidR="00D42308" w:rsidRDefault="00027A37" w:rsidP="00D42308">
      <w:pPr>
        <w:pStyle w:val="Heading3"/>
      </w:pPr>
      <w:r>
        <w:lastRenderedPageBreak/>
        <w:t xml:space="preserve">Note 10. </w:t>
      </w:r>
      <w:r w:rsidR="000A0359">
        <w:t>Frais de commercialisation</w:t>
      </w:r>
      <w:r w:rsidR="00D42308">
        <w:tab/>
      </w:r>
    </w:p>
    <w:p w:rsidR="005B5479" w:rsidRDefault="00D42308" w:rsidP="00D42308">
      <w:r>
        <w:t xml:space="preserve">Sont repris sous cette rubrique les </w:t>
      </w:r>
      <w:r w:rsidR="000A0359">
        <w:t>frais (honoraires</w:t>
      </w:r>
      <w:r>
        <w:t xml:space="preserve"> payés à des tiers relatifs au chiffre d'affaires, </w:t>
      </w:r>
      <w:r w:rsidR="000A0359">
        <w:t xml:space="preserve">frais de publicité…) non </w:t>
      </w:r>
      <w:r>
        <w:t>capitalisés à la rubrique "Stocks".</w:t>
      </w:r>
    </w:p>
    <w:p w:rsidR="00F10828" w:rsidRDefault="00027A37" w:rsidP="00F10828">
      <w:pPr>
        <w:pStyle w:val="Heading3"/>
      </w:pPr>
      <w:r>
        <w:t xml:space="preserve">Note 11. </w:t>
      </w:r>
      <w:r w:rsidR="00F10828">
        <w:t>Frais d’administration</w:t>
      </w:r>
    </w:p>
    <w:p w:rsidR="00F10828" w:rsidRDefault="00374F03" w:rsidP="00F10828">
      <w:r w:rsidRPr="00374F03">
        <w:rPr>
          <w:noProof/>
        </w:rPr>
        <w:drawing>
          <wp:inline distT="0" distB="0" distL="0" distR="0">
            <wp:extent cx="5939790" cy="1939713"/>
            <wp:effectExtent l="0" t="0" r="381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9790" cy="1939713"/>
                    </a:xfrm>
                    <a:prstGeom prst="rect">
                      <a:avLst/>
                    </a:prstGeom>
                    <a:noFill/>
                    <a:ln>
                      <a:noFill/>
                    </a:ln>
                  </pic:spPr>
                </pic:pic>
              </a:graphicData>
            </a:graphic>
          </wp:inline>
        </w:drawing>
      </w:r>
    </w:p>
    <w:p w:rsidR="00F10828" w:rsidRDefault="00A11D91" w:rsidP="00F10828">
      <w:pPr>
        <w:pStyle w:val="Heading3"/>
      </w:pPr>
      <w:r>
        <w:t xml:space="preserve">Note 12. </w:t>
      </w:r>
      <w:r w:rsidR="00F10828">
        <w:t>Coentreprises et entreprises associées</w:t>
      </w:r>
    </w:p>
    <w:p w:rsidR="00F10828" w:rsidRDefault="00F10828" w:rsidP="00F10828">
      <w:r>
        <w:t>Les gains sur ventes de coentreprises et entreprises associées sont relatifs à la vente de la participation de 33,33% détenue dans la société PEF KONS INVESTMENT, propriétaire de l'immeuble KONS à Luxembourg.</w:t>
      </w:r>
    </w:p>
    <w:p w:rsidR="00F10828" w:rsidRDefault="00E43438" w:rsidP="00F10828">
      <w:r w:rsidRPr="00E43438">
        <w:rPr>
          <w:noProof/>
        </w:rPr>
        <w:drawing>
          <wp:inline distT="0" distB="0" distL="0" distR="0">
            <wp:extent cx="543877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38775" cy="923925"/>
                    </a:xfrm>
                    <a:prstGeom prst="rect">
                      <a:avLst/>
                    </a:prstGeom>
                    <a:noFill/>
                    <a:ln>
                      <a:noFill/>
                    </a:ln>
                  </pic:spPr>
                </pic:pic>
              </a:graphicData>
            </a:graphic>
          </wp:inline>
        </w:drawing>
      </w:r>
    </w:p>
    <w:p w:rsidR="00F10828" w:rsidRDefault="00F10828" w:rsidP="00F10828">
      <w:r>
        <w:t>Il est à noter que le projet KONS avait fait l'objet d'une réévaluation actée directement en augmentation des fonds propres lors de la fusion entre ALLFIN et IMMOBEL en date du 29 juin 2016.</w:t>
      </w:r>
    </w:p>
    <w:p w:rsidR="00F10828" w:rsidRDefault="0071014F" w:rsidP="00F10828">
      <w:r w:rsidRPr="0071014F">
        <w:rPr>
          <w:noProof/>
        </w:rPr>
        <w:drawing>
          <wp:inline distT="0" distB="0" distL="0" distR="0">
            <wp:extent cx="5939790" cy="900249"/>
            <wp:effectExtent l="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9790" cy="900249"/>
                    </a:xfrm>
                    <a:prstGeom prst="rect">
                      <a:avLst/>
                    </a:prstGeom>
                    <a:noFill/>
                    <a:ln>
                      <a:noFill/>
                    </a:ln>
                  </pic:spPr>
                </pic:pic>
              </a:graphicData>
            </a:graphic>
          </wp:inline>
        </w:drawing>
      </w:r>
    </w:p>
    <w:p w:rsidR="00F10828" w:rsidRDefault="00F10828" w:rsidP="00F10828">
      <w:r w:rsidRPr="00F10828">
        <w:t>De plus amples informations relatives aux coentreprises et entreprises associées sont données en note 16.</w:t>
      </w:r>
    </w:p>
    <w:p w:rsidR="00F10828" w:rsidRDefault="00F10828">
      <w:pPr>
        <w:spacing w:after="80"/>
        <w:jc w:val="left"/>
      </w:pPr>
      <w:r>
        <w:br w:type="page"/>
      </w:r>
    </w:p>
    <w:p w:rsidR="00F10828" w:rsidRDefault="006D0E06" w:rsidP="00F10828">
      <w:pPr>
        <w:pStyle w:val="Heading3"/>
      </w:pPr>
      <w:r>
        <w:lastRenderedPageBreak/>
        <w:t xml:space="preserve">Note 13. </w:t>
      </w:r>
      <w:r w:rsidR="00F10828">
        <w:t>Résultat financier</w:t>
      </w:r>
    </w:p>
    <w:p w:rsidR="00F10828" w:rsidRDefault="001142D5" w:rsidP="00F10828">
      <w:r w:rsidRPr="001142D5">
        <w:rPr>
          <w:noProof/>
        </w:rPr>
        <w:drawing>
          <wp:inline distT="0" distB="0" distL="0" distR="0">
            <wp:extent cx="5939790" cy="1345734"/>
            <wp:effectExtent l="0" t="0" r="381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9790" cy="1345734"/>
                    </a:xfrm>
                    <a:prstGeom prst="rect">
                      <a:avLst/>
                    </a:prstGeom>
                    <a:noFill/>
                    <a:ln>
                      <a:noFill/>
                    </a:ln>
                  </pic:spPr>
                </pic:pic>
              </a:graphicData>
            </a:graphic>
          </wp:inline>
        </w:drawing>
      </w:r>
    </w:p>
    <w:p w:rsidR="00F10828" w:rsidRDefault="006D0E06" w:rsidP="00F10828">
      <w:pPr>
        <w:pStyle w:val="Heading3"/>
      </w:pPr>
      <w:r>
        <w:t xml:space="preserve">Note 14. </w:t>
      </w:r>
      <w:r w:rsidR="00F10828">
        <w:t>Impôts sur le résultat</w:t>
      </w:r>
    </w:p>
    <w:p w:rsidR="00F10828" w:rsidRDefault="0017653F" w:rsidP="00F10828">
      <w:r w:rsidRPr="0017653F">
        <w:rPr>
          <w:noProof/>
        </w:rPr>
        <w:drawing>
          <wp:inline distT="0" distB="0" distL="0" distR="0">
            <wp:extent cx="5939790" cy="751755"/>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9790" cy="751755"/>
                    </a:xfrm>
                    <a:prstGeom prst="rect">
                      <a:avLst/>
                    </a:prstGeom>
                    <a:noFill/>
                    <a:ln>
                      <a:noFill/>
                    </a:ln>
                  </pic:spPr>
                </pic:pic>
              </a:graphicData>
            </a:graphic>
          </wp:inline>
        </w:drawing>
      </w:r>
    </w:p>
    <w:p w:rsidR="00F10828" w:rsidRDefault="00F10828" w:rsidP="00F10828">
      <w:r>
        <w:t xml:space="preserve">Sur la base de la situation au 30 juin 2017, </w:t>
      </w:r>
      <w:r w:rsidR="006D0E06">
        <w:t>une baisse</w:t>
      </w:r>
      <w:r>
        <w:t xml:space="preserve"> du taux d’imposition de 1 % </w:t>
      </w:r>
      <w:r w:rsidR="006D0E06">
        <w:t xml:space="preserve">aurait un impact négatif sur </w:t>
      </w:r>
      <w:r w:rsidR="00DE2431">
        <w:t>la charge</w:t>
      </w:r>
      <w:r>
        <w:t xml:space="preserve"> nette d’impôts différés de € 27 milliers - voir note 17.</w:t>
      </w:r>
    </w:p>
    <w:p w:rsidR="00E13114" w:rsidRDefault="00DE2431" w:rsidP="00E13114">
      <w:pPr>
        <w:pStyle w:val="Heading3"/>
      </w:pPr>
      <w:r>
        <w:t xml:space="preserve">Note 15. </w:t>
      </w:r>
      <w:r w:rsidR="00E13114">
        <w:t>Résultat par action</w:t>
      </w:r>
    </w:p>
    <w:p w:rsidR="00E13114" w:rsidRDefault="00E13114" w:rsidP="00E13114">
      <w:r>
        <w:t xml:space="preserve">Etant donné qu’il n’existe pas d’actions ordinaires potentielles dilutives en circulation, le résultat de base par action est identique au résultat dilué par action. </w:t>
      </w:r>
    </w:p>
    <w:p w:rsidR="00E13114" w:rsidRDefault="00E13114" w:rsidP="00E13114">
      <w:r>
        <w:t>Le calcul du nombre moyen d'action est défini par IFRS 3 B 26.</w:t>
      </w:r>
    </w:p>
    <w:p w:rsidR="00E13114" w:rsidRDefault="004A0518" w:rsidP="00E13114">
      <w:r w:rsidRPr="004A0518">
        <w:rPr>
          <w:noProof/>
        </w:rPr>
        <w:drawing>
          <wp:inline distT="0" distB="0" distL="0" distR="0">
            <wp:extent cx="5939790" cy="153135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39790" cy="1531352"/>
                    </a:xfrm>
                    <a:prstGeom prst="rect">
                      <a:avLst/>
                    </a:prstGeom>
                    <a:noFill/>
                    <a:ln>
                      <a:noFill/>
                    </a:ln>
                  </pic:spPr>
                </pic:pic>
              </a:graphicData>
            </a:graphic>
          </wp:inline>
        </w:drawing>
      </w:r>
      <w:r w:rsidR="00E13114">
        <w:tab/>
      </w:r>
    </w:p>
    <w:p w:rsidR="00E13114" w:rsidRDefault="00E13114" w:rsidP="00E13114">
      <w:r>
        <w:br w:type="page"/>
      </w:r>
    </w:p>
    <w:p w:rsidR="00E13114" w:rsidRDefault="0066732A" w:rsidP="00E13114">
      <w:pPr>
        <w:pStyle w:val="Heading3"/>
      </w:pPr>
      <w:r>
        <w:lastRenderedPageBreak/>
        <w:t xml:space="preserve">Note 16. </w:t>
      </w:r>
      <w:r w:rsidR="00E13114">
        <w:t>Participations dans les coentreprises et entreprises associées</w:t>
      </w:r>
    </w:p>
    <w:p w:rsidR="00E13114" w:rsidRDefault="00CB7EA3" w:rsidP="00E13114">
      <w:r w:rsidRPr="00CB7EA3">
        <w:rPr>
          <w:noProof/>
        </w:rPr>
        <w:drawing>
          <wp:inline distT="0" distB="0" distL="0" distR="0">
            <wp:extent cx="5939790" cy="3424660"/>
            <wp:effectExtent l="0" t="0" r="381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39790" cy="3424660"/>
                    </a:xfrm>
                    <a:prstGeom prst="rect">
                      <a:avLst/>
                    </a:prstGeom>
                    <a:noFill/>
                    <a:ln>
                      <a:noFill/>
                    </a:ln>
                  </pic:spPr>
                </pic:pic>
              </a:graphicData>
            </a:graphic>
          </wp:inline>
        </w:drawing>
      </w:r>
    </w:p>
    <w:p w:rsidR="008D39B1" w:rsidRDefault="008D39B1">
      <w:pPr>
        <w:spacing w:after="80"/>
        <w:jc w:val="left"/>
      </w:pPr>
      <w:r>
        <w:br w:type="page"/>
      </w:r>
    </w:p>
    <w:p w:rsidR="008D39B1" w:rsidRDefault="008D39B1" w:rsidP="008D39B1">
      <w:r>
        <w:lastRenderedPageBreak/>
        <w:t>Le tableau ci-après reprend la contribution des coentreprises et entreprises associées dans l'état de la situation financière et dans l'état du résultat global.</w:t>
      </w:r>
      <w:r>
        <w:tab/>
      </w:r>
      <w:r>
        <w:tab/>
      </w:r>
    </w:p>
    <w:p w:rsidR="008D39B1" w:rsidRDefault="007D1C0A" w:rsidP="008D39B1">
      <w:r w:rsidRPr="007D1C0A">
        <w:rPr>
          <w:noProof/>
        </w:rPr>
        <w:drawing>
          <wp:inline distT="0" distB="0" distL="0" distR="0">
            <wp:extent cx="5939790" cy="6116128"/>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39790" cy="6116128"/>
                    </a:xfrm>
                    <a:prstGeom prst="rect">
                      <a:avLst/>
                    </a:prstGeom>
                    <a:noFill/>
                    <a:ln>
                      <a:noFill/>
                    </a:ln>
                  </pic:spPr>
                </pic:pic>
              </a:graphicData>
            </a:graphic>
          </wp:inline>
        </w:drawing>
      </w:r>
    </w:p>
    <w:p w:rsidR="008D39B1" w:rsidRDefault="008D39B1" w:rsidP="008D39B1">
      <w:r>
        <w:br w:type="page"/>
      </w:r>
    </w:p>
    <w:p w:rsidR="008D39B1" w:rsidRDefault="0066732A" w:rsidP="008D39B1">
      <w:pPr>
        <w:pStyle w:val="Heading3"/>
      </w:pPr>
      <w:r>
        <w:lastRenderedPageBreak/>
        <w:t xml:space="preserve">Note 17. </w:t>
      </w:r>
      <w:r w:rsidR="008D39B1">
        <w:t>Impôts différés</w:t>
      </w:r>
    </w:p>
    <w:p w:rsidR="008D39B1" w:rsidRDefault="008D39B1" w:rsidP="00E13114">
      <w:r>
        <w:t xml:space="preserve">Des impôts différés actifs ou passifs sont enregistrés au bilan sur les différences temporelles imposables ou déductibles, le report des pertes fiscales et des crédits d’impôts. Les variations des impôts différés </w:t>
      </w:r>
      <w:proofErr w:type="spellStart"/>
      <w:r>
        <w:t>bilantaires</w:t>
      </w:r>
      <w:proofErr w:type="spellEnd"/>
      <w:r>
        <w:t xml:space="preserve"> survenues au cours de l’exercice sont enregistrées dans le compte de résultat sauf si elles se rapportent à des éléments comptabilisés directement dans les capitaux propres.</w:t>
      </w:r>
      <w:r>
        <w:tab/>
      </w:r>
      <w:r>
        <w:tab/>
      </w:r>
      <w:r>
        <w:tab/>
      </w:r>
    </w:p>
    <w:p w:rsidR="008D39B1" w:rsidRDefault="004A0518" w:rsidP="008D39B1">
      <w:r w:rsidRPr="004A0518">
        <w:rPr>
          <w:noProof/>
        </w:rPr>
        <w:drawing>
          <wp:inline distT="0" distB="0" distL="0" distR="0">
            <wp:extent cx="5438775" cy="26193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38775" cy="2619375"/>
                    </a:xfrm>
                    <a:prstGeom prst="rect">
                      <a:avLst/>
                    </a:prstGeom>
                    <a:noFill/>
                    <a:ln>
                      <a:noFill/>
                    </a:ln>
                  </pic:spPr>
                </pic:pic>
              </a:graphicData>
            </a:graphic>
          </wp:inline>
        </w:drawing>
      </w:r>
    </w:p>
    <w:p w:rsidR="008D39B1" w:rsidRDefault="008D39B1" w:rsidP="008D39B1">
      <w:r>
        <w:t xml:space="preserve">Sur la base de la situation au 30 juin 2017, </w:t>
      </w:r>
      <w:r w:rsidR="0066732A">
        <w:t>une baisse d</w:t>
      </w:r>
      <w:r>
        <w:t xml:space="preserve">u taux d’imposition de 1 % </w:t>
      </w:r>
      <w:r w:rsidR="0066732A">
        <w:t>aurait</w:t>
      </w:r>
      <w:r>
        <w:t xml:space="preserve"> un</w:t>
      </w:r>
      <w:r w:rsidR="0066732A">
        <w:t xml:space="preserve"> impact négatif sur</w:t>
      </w:r>
      <w:r>
        <w:t xml:space="preserve"> la charge nette d’impôts de € 27 milliers.</w:t>
      </w:r>
    </w:p>
    <w:p w:rsidR="008D39B1" w:rsidRDefault="008D39B1" w:rsidP="008D39B1">
      <w:pPr>
        <w:pStyle w:val="Heading3"/>
      </w:pPr>
    </w:p>
    <w:p w:rsidR="008D39B1" w:rsidRDefault="008D39B1">
      <w:pPr>
        <w:spacing w:after="80"/>
        <w:jc w:val="left"/>
        <w:rPr>
          <w:rFonts w:asciiTheme="majorHAnsi" w:eastAsiaTheme="majorEastAsia" w:hAnsiTheme="majorHAnsi" w:cstheme="majorBidi"/>
          <w:b/>
          <w:color w:val="2E3A74"/>
          <w:sz w:val="24"/>
          <w:szCs w:val="24"/>
        </w:rPr>
      </w:pPr>
      <w:r>
        <w:br w:type="page"/>
      </w:r>
    </w:p>
    <w:p w:rsidR="008D39B1" w:rsidRDefault="0066732A" w:rsidP="008D39B1">
      <w:pPr>
        <w:pStyle w:val="Heading3"/>
      </w:pPr>
      <w:r>
        <w:lastRenderedPageBreak/>
        <w:t xml:space="preserve">Note 18. </w:t>
      </w:r>
      <w:r w:rsidR="008D39B1">
        <w:t>Stocks</w:t>
      </w:r>
    </w:p>
    <w:p w:rsidR="008D39B1" w:rsidRDefault="008D39B1" w:rsidP="008D39B1">
      <w:r w:rsidRPr="008D39B1">
        <w:t xml:space="preserve">Les stocks se composent d’immeubles et de terrains acquis en vue de leur développement et leur revente. </w:t>
      </w:r>
    </w:p>
    <w:p w:rsidR="008D39B1" w:rsidRDefault="0066732A" w:rsidP="008D39B1">
      <w:r w:rsidRPr="0066732A">
        <w:rPr>
          <w:noProof/>
        </w:rPr>
        <w:drawing>
          <wp:inline distT="0" distB="0" distL="0" distR="0">
            <wp:extent cx="5939790" cy="5930509"/>
            <wp:effectExtent l="0" t="0" r="381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39790" cy="5930509"/>
                    </a:xfrm>
                    <a:prstGeom prst="rect">
                      <a:avLst/>
                    </a:prstGeom>
                    <a:noFill/>
                    <a:ln>
                      <a:noFill/>
                    </a:ln>
                  </pic:spPr>
                </pic:pic>
              </a:graphicData>
            </a:graphic>
          </wp:inline>
        </w:drawing>
      </w:r>
    </w:p>
    <w:p w:rsidR="008D39B1" w:rsidRDefault="008D39B1">
      <w:pPr>
        <w:spacing w:after="80"/>
        <w:jc w:val="left"/>
      </w:pPr>
      <w:r>
        <w:br w:type="page"/>
      </w:r>
    </w:p>
    <w:p w:rsidR="008D39B1" w:rsidRDefault="0063609A" w:rsidP="008D39B1">
      <w:pPr>
        <w:pStyle w:val="Heading3"/>
      </w:pPr>
      <w:r>
        <w:lastRenderedPageBreak/>
        <w:t xml:space="preserve">Note 19. </w:t>
      </w:r>
      <w:r w:rsidR="008D39B1">
        <w:t>Créances commerciales</w:t>
      </w:r>
    </w:p>
    <w:p w:rsidR="008D39B1" w:rsidRDefault="008D39B1" w:rsidP="008D39B1">
      <w:r w:rsidRPr="008D39B1">
        <w:rPr>
          <w:noProof/>
        </w:rPr>
        <w:drawing>
          <wp:inline distT="0" distB="0" distL="0" distR="0">
            <wp:extent cx="5939790" cy="903289"/>
            <wp:effectExtent l="0" t="0" r="381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39790" cy="903289"/>
                    </a:xfrm>
                    <a:prstGeom prst="rect">
                      <a:avLst/>
                    </a:prstGeom>
                    <a:noFill/>
                    <a:ln>
                      <a:noFill/>
                    </a:ln>
                  </pic:spPr>
                </pic:pic>
              </a:graphicData>
            </a:graphic>
          </wp:inline>
        </w:drawing>
      </w:r>
    </w:p>
    <w:p w:rsidR="008D39B1" w:rsidRDefault="0063609A" w:rsidP="008D39B1">
      <w:pPr>
        <w:pStyle w:val="Heading3"/>
      </w:pPr>
      <w:r>
        <w:t xml:space="preserve">Note 20. </w:t>
      </w:r>
      <w:r w:rsidR="008D39B1">
        <w:t>Autres actifs courants</w:t>
      </w:r>
    </w:p>
    <w:p w:rsidR="008D39B1" w:rsidRDefault="0063609A" w:rsidP="008D39B1">
      <w:r w:rsidRPr="0063609A">
        <w:rPr>
          <w:noProof/>
        </w:rPr>
        <w:drawing>
          <wp:inline distT="0" distB="0" distL="0" distR="0">
            <wp:extent cx="5939790" cy="2979176"/>
            <wp:effectExtent l="0" t="0" r="381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39790" cy="2979176"/>
                    </a:xfrm>
                    <a:prstGeom prst="rect">
                      <a:avLst/>
                    </a:prstGeom>
                    <a:noFill/>
                    <a:ln>
                      <a:noFill/>
                    </a:ln>
                  </pic:spPr>
                </pic:pic>
              </a:graphicData>
            </a:graphic>
          </wp:inline>
        </w:drawing>
      </w:r>
    </w:p>
    <w:p w:rsidR="008D39B1" w:rsidRDefault="008A2F38" w:rsidP="008D39B1">
      <w:pPr>
        <w:pStyle w:val="Heading3"/>
      </w:pPr>
      <w:r>
        <w:t xml:space="preserve">Note 21. </w:t>
      </w:r>
      <w:r w:rsidR="008D39B1">
        <w:t>Informations relatives à l’endettement financier net</w:t>
      </w:r>
    </w:p>
    <w:p w:rsidR="008D39B1" w:rsidRDefault="008D39B1" w:rsidP="008D39B1">
      <w:r>
        <w:t xml:space="preserve">L’endettement financier net du Groupe est le solde entre la trésorerie et les équivalents de trésorerie et les dettes financières (courantes et non courantes). Il s’élève à € -254 464 milliers au 30 juin 2017 contre </w:t>
      </w:r>
      <w:r>
        <w:br/>
        <w:t>€ -201 472 milliers au 31 décembre 2016.</w:t>
      </w:r>
    </w:p>
    <w:p w:rsidR="008D39B1" w:rsidRPr="008D39B1" w:rsidRDefault="008D39B1" w:rsidP="008D39B1">
      <w:r w:rsidRPr="008D39B1">
        <w:rPr>
          <w:noProof/>
        </w:rPr>
        <w:drawing>
          <wp:inline distT="0" distB="0" distL="0" distR="0">
            <wp:extent cx="5939790" cy="752844"/>
            <wp:effectExtent l="0" t="0" r="381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39790" cy="752844"/>
                    </a:xfrm>
                    <a:prstGeom prst="rect">
                      <a:avLst/>
                    </a:prstGeom>
                    <a:noFill/>
                    <a:ln>
                      <a:noFill/>
                    </a:ln>
                  </pic:spPr>
                </pic:pic>
              </a:graphicData>
            </a:graphic>
          </wp:inline>
        </w:drawing>
      </w:r>
    </w:p>
    <w:p w:rsidR="008D39B1" w:rsidRDefault="008D39B1" w:rsidP="008D39B1">
      <w:r>
        <w:t>Le ratio d’endettement du Groupe (endettement financier net / fonds propres) s’élève à 85 % au 30 juin 2017 contre 64% au 31 décembre 2016.</w:t>
      </w:r>
    </w:p>
    <w:p w:rsidR="008D39B1" w:rsidRDefault="008D39B1">
      <w:pPr>
        <w:spacing w:after="80"/>
        <w:jc w:val="left"/>
      </w:pPr>
      <w:r>
        <w:br w:type="page"/>
      </w:r>
    </w:p>
    <w:p w:rsidR="008D39B1" w:rsidRDefault="008D39B1" w:rsidP="00596B87">
      <w:pPr>
        <w:pStyle w:val="Heading4"/>
        <w:spacing w:after="0"/>
      </w:pPr>
      <w:r>
        <w:lastRenderedPageBreak/>
        <w:t>Trésorerie et équivalents de trésorerie</w:t>
      </w:r>
    </w:p>
    <w:p w:rsidR="008A2F38" w:rsidRDefault="008A2F38" w:rsidP="00596B87">
      <w:pPr>
        <w:spacing w:after="0"/>
      </w:pPr>
      <w:r>
        <w:t xml:space="preserve">Les placements de trésorerie et les valeurs disponibles s’élèvent à € 179 099 milliers par rapport à </w:t>
      </w:r>
    </w:p>
    <w:p w:rsidR="008A2F38" w:rsidRDefault="008A2F38" w:rsidP="008A2F38">
      <w:pPr>
        <w:spacing w:after="0"/>
      </w:pPr>
      <w:r>
        <w:t xml:space="preserve">€ 120 638 milliers à fin 2016, soit une augmentation de € 58 461 milliers. </w:t>
      </w:r>
    </w:p>
    <w:p w:rsidR="008A2F38" w:rsidRDefault="008A2F38" w:rsidP="008A2F38">
      <w:pPr>
        <w:spacing w:after="0"/>
      </w:pPr>
      <w:r>
        <w:t>Les valeurs disponibles se détaillent comme suit :</w:t>
      </w:r>
    </w:p>
    <w:p w:rsidR="008A2F38" w:rsidRPr="008A2F38" w:rsidRDefault="008A2F38" w:rsidP="008A2F38">
      <w:pPr>
        <w:spacing w:after="0"/>
      </w:pPr>
      <w:r w:rsidRPr="008A2F38">
        <w:rPr>
          <w:noProof/>
        </w:rPr>
        <w:drawing>
          <wp:inline distT="0" distB="0" distL="0" distR="0">
            <wp:extent cx="5939790" cy="603260"/>
            <wp:effectExtent l="0" t="0" r="381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39790" cy="603260"/>
                    </a:xfrm>
                    <a:prstGeom prst="rect">
                      <a:avLst/>
                    </a:prstGeom>
                    <a:noFill/>
                    <a:ln>
                      <a:noFill/>
                    </a:ln>
                  </pic:spPr>
                </pic:pic>
              </a:graphicData>
            </a:graphic>
          </wp:inline>
        </w:drawing>
      </w:r>
    </w:p>
    <w:p w:rsidR="008D39B1" w:rsidRDefault="008D39B1" w:rsidP="008D39B1">
      <w:r>
        <w:t>L’explication de la variation nette de trésorerie et équivalents de trésorerie est mentionnée à l’état consolidé des flux de trésorerie. La trésorerie et les équivalents de trésorerie sont entièrement disponibles, soit pour distribution aux actionnaires, soit pour financer les projets détenus par les différentes sociétés.</w:t>
      </w:r>
    </w:p>
    <w:p w:rsidR="008D39B1" w:rsidRDefault="008D39B1" w:rsidP="00596B87">
      <w:pPr>
        <w:pStyle w:val="Heading4"/>
        <w:spacing w:after="0"/>
      </w:pPr>
      <w:r>
        <w:t>Dettes financières</w:t>
      </w:r>
    </w:p>
    <w:p w:rsidR="008A2F38" w:rsidRDefault="00790CBB" w:rsidP="00596B87">
      <w:pPr>
        <w:spacing w:after="0"/>
      </w:pPr>
      <w:r>
        <w:t xml:space="preserve">Les dettes financières augmentent de € 111 453 milliers, passant de € 322 110 milliers au 31 décembre 2016 à € 433 563 milliers au 30 juin 2017. </w:t>
      </w:r>
      <w:r w:rsidR="00596B87">
        <w:t>Cette augmentation est essentiellement liée à l’émission obligataire de mai 2017 pour € 100 000 milliers.</w:t>
      </w:r>
      <w:r w:rsidR="0019498B">
        <w:t xml:space="preserve"> </w:t>
      </w:r>
      <w:r>
        <w:t>Les dettes financières s’établissent comme suit :</w:t>
      </w:r>
      <w:r>
        <w:tab/>
      </w:r>
      <w:r w:rsidR="006E3515" w:rsidRPr="006E3515">
        <w:rPr>
          <w:noProof/>
        </w:rPr>
        <w:drawing>
          <wp:inline distT="0" distB="0" distL="0" distR="0">
            <wp:extent cx="5939790" cy="516947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39790" cy="5169473"/>
                    </a:xfrm>
                    <a:prstGeom prst="rect">
                      <a:avLst/>
                    </a:prstGeom>
                    <a:noFill/>
                    <a:ln>
                      <a:noFill/>
                    </a:ln>
                  </pic:spPr>
                </pic:pic>
              </a:graphicData>
            </a:graphic>
          </wp:inline>
        </w:drawing>
      </w:r>
    </w:p>
    <w:p w:rsidR="008D39B1" w:rsidRDefault="008D39B1" w:rsidP="008A2F38">
      <w:pPr>
        <w:spacing w:after="0"/>
      </w:pPr>
      <w:r>
        <w:lastRenderedPageBreak/>
        <w:t>Toutes les dettes financières sont libellées en EUR.</w:t>
      </w:r>
      <w:r>
        <w:tab/>
      </w:r>
      <w:r>
        <w:tab/>
      </w:r>
      <w:r>
        <w:tab/>
      </w:r>
    </w:p>
    <w:p w:rsidR="008D39B1" w:rsidRDefault="008D39B1" w:rsidP="008A2F38">
      <w:pPr>
        <w:spacing w:after="0"/>
      </w:pPr>
      <w:r>
        <w:t>Excepté les emprunts obligataires, le financement du Groupe et les financements des projets du Groupe sont assurés sur base de taux à court terme, euribor de 1 à 12 mois, + marge commerciale.</w:t>
      </w:r>
    </w:p>
    <w:p w:rsidR="00D954D2" w:rsidRDefault="00E25307" w:rsidP="008A2F38">
      <w:pPr>
        <w:spacing w:after="0"/>
      </w:pPr>
      <w:r w:rsidRPr="00E25307">
        <w:t xml:space="preserve">Au 30 juin 2017, IMMOBEL dispose d'une ligne de crédit </w:t>
      </w:r>
      <w:proofErr w:type="spellStart"/>
      <w:r w:rsidRPr="00E25307">
        <w:t>Corporate</w:t>
      </w:r>
      <w:proofErr w:type="spellEnd"/>
      <w:r w:rsidRPr="00E25307">
        <w:t xml:space="preserve"> de € 10 millions, non utilisée, et de lignes de crédit bancaires confirmées de € </w:t>
      </w:r>
      <w:r w:rsidR="00E016B8">
        <w:t>470</w:t>
      </w:r>
      <w:r w:rsidRPr="00E25307">
        <w:t xml:space="preserve"> millions dont € 237 millions utilisés à fin juin 2017. Ces lignes de crédit (Crédits Project </w:t>
      </w:r>
      <w:proofErr w:type="spellStart"/>
      <w:r w:rsidRPr="00E25307">
        <w:t>Financing</w:t>
      </w:r>
      <w:proofErr w:type="spellEnd"/>
      <w:r w:rsidRPr="00E25307">
        <w:t>) sont spécifiques pour le développement de certains projets.</w:t>
      </w:r>
    </w:p>
    <w:p w:rsidR="008D39B1" w:rsidRDefault="008D39B1" w:rsidP="008A2F38">
      <w:pPr>
        <w:spacing w:after="0"/>
      </w:pPr>
      <w:r>
        <w:t xml:space="preserve">Au 30 juin 2017, la valeur comptable des actifs du Groupe mis en gage pour garantir le Crédit </w:t>
      </w:r>
      <w:proofErr w:type="spellStart"/>
      <w:r>
        <w:t>Corporate</w:t>
      </w:r>
      <w:proofErr w:type="spellEnd"/>
      <w:r>
        <w:t xml:space="preserve"> et les Crédits Project </w:t>
      </w:r>
      <w:proofErr w:type="spellStart"/>
      <w:r>
        <w:t>Financing</w:t>
      </w:r>
      <w:proofErr w:type="spellEnd"/>
      <w:r>
        <w:t xml:space="preserve"> s'élève à € 456 millions.</w:t>
      </w:r>
    </w:p>
    <w:p w:rsidR="008A2F38" w:rsidRDefault="008A2F38" w:rsidP="008A2F38">
      <w:pPr>
        <w:spacing w:after="0"/>
      </w:pPr>
    </w:p>
    <w:p w:rsidR="008D39B1" w:rsidRDefault="008D39B1" w:rsidP="008D39B1">
      <w:r w:rsidRPr="008D39B1">
        <w:rPr>
          <w:noProof/>
        </w:rPr>
        <w:drawing>
          <wp:inline distT="0" distB="0" distL="0" distR="0">
            <wp:extent cx="5939790" cy="903289"/>
            <wp:effectExtent l="0" t="0" r="381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39790" cy="903289"/>
                    </a:xfrm>
                    <a:prstGeom prst="rect">
                      <a:avLst/>
                    </a:prstGeom>
                    <a:noFill/>
                    <a:ln>
                      <a:noFill/>
                    </a:ln>
                  </pic:spPr>
                </pic:pic>
              </a:graphicData>
            </a:graphic>
          </wp:inline>
        </w:drawing>
      </w:r>
    </w:p>
    <w:p w:rsidR="008D39B1" w:rsidRDefault="008D39B1" w:rsidP="008D39B1">
      <w:r>
        <w:t>* Le montant inscrit au bilan, € 195 868 milliers, comprend € 772 milliers de frais restant à amortir jusqu’aux échéances en 2018, 2019 et 2022.</w:t>
      </w:r>
    </w:p>
    <w:p w:rsidR="00D267C3" w:rsidRDefault="00D267C3" w:rsidP="00790CBB">
      <w:pPr>
        <w:pStyle w:val="Heading4"/>
      </w:pPr>
      <w:bookmarkStart w:id="18" w:name="_Hlk491684225"/>
      <w:r>
        <w:t>Risque et taux d’intérêt</w:t>
      </w:r>
    </w:p>
    <w:bookmarkEnd w:id="18"/>
    <w:p w:rsidR="00D267C3" w:rsidRDefault="00D267C3" w:rsidP="008A2F38">
      <w:pPr>
        <w:spacing w:after="0"/>
      </w:pPr>
      <w:r>
        <w:t xml:space="preserve">Sur la base de la situation au 30 juin 2017, toute variation des taux d’intérêt de 1 % entraîne une augmentation ou une diminution annuelle de la charge d’intérêts des dettes à taux variable de € 2 366 milliers. </w:t>
      </w:r>
    </w:p>
    <w:p w:rsidR="00D267C3" w:rsidRDefault="00D267C3" w:rsidP="008A2F38">
      <w:pPr>
        <w:spacing w:after="0"/>
      </w:pPr>
      <w:r>
        <w:t>Dans le cadre de la mise à disposition de crédits long terme,</w:t>
      </w:r>
      <w:proofErr w:type="gramStart"/>
      <w:r>
        <w:t xml:space="preserve"> «</w:t>
      </w:r>
      <w:proofErr w:type="spellStart"/>
      <w:r>
        <w:t>corporate</w:t>
      </w:r>
      <w:proofErr w:type="spellEnd"/>
      <w:proofErr w:type="gramEnd"/>
      <w:r>
        <w:t>» ou «</w:t>
      </w:r>
      <w:proofErr w:type="spellStart"/>
      <w:r>
        <w:t>project</w:t>
      </w:r>
      <w:proofErr w:type="spellEnd"/>
      <w:r>
        <w:t xml:space="preserve"> </w:t>
      </w:r>
      <w:proofErr w:type="spellStart"/>
      <w:r>
        <w:t>financing</w:t>
      </w:r>
      <w:proofErr w:type="spellEnd"/>
      <w:r>
        <w:t>», le Groupe utilise des instruments financiers dérivés afin de couvrir les fluctuations de taux d’intérêts.</w:t>
      </w:r>
    </w:p>
    <w:p w:rsidR="008D39B1" w:rsidRPr="008D39B1" w:rsidRDefault="00D267C3" w:rsidP="008A2F38">
      <w:pPr>
        <w:spacing w:after="0"/>
      </w:pPr>
      <w:r>
        <w:t>Au 30 juin 2017, les instruments financiers dérivés conclus en vue de couvrir des risques futurs sont les suivants :</w:t>
      </w:r>
      <w:r>
        <w:tab/>
      </w:r>
      <w:r>
        <w:tab/>
      </w:r>
      <w:r>
        <w:tab/>
      </w:r>
      <w:r>
        <w:tab/>
      </w:r>
      <w:r>
        <w:tab/>
      </w:r>
      <w:r>
        <w:tab/>
      </w:r>
      <w:r>
        <w:tab/>
      </w:r>
      <w:r w:rsidR="008D39B1">
        <w:tab/>
      </w:r>
      <w:r w:rsidR="008D39B1">
        <w:tab/>
      </w:r>
      <w:r w:rsidR="008D39B1">
        <w:tab/>
      </w:r>
    </w:p>
    <w:p w:rsidR="00412AEB" w:rsidRDefault="00412AEB" w:rsidP="00412AEB">
      <w:pPr>
        <w:jc w:val="right"/>
      </w:pPr>
      <w:r w:rsidRPr="00412AEB">
        <w:rPr>
          <w:noProof/>
        </w:rPr>
        <w:drawing>
          <wp:inline distT="0" distB="0" distL="0" distR="0">
            <wp:extent cx="3206115" cy="74803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06115" cy="748030"/>
                    </a:xfrm>
                    <a:prstGeom prst="rect">
                      <a:avLst/>
                    </a:prstGeom>
                    <a:noFill/>
                    <a:ln>
                      <a:noFill/>
                    </a:ln>
                  </pic:spPr>
                </pic:pic>
              </a:graphicData>
            </a:graphic>
          </wp:inline>
        </w:drawing>
      </w:r>
    </w:p>
    <w:p w:rsidR="00412AEB" w:rsidRDefault="00412AEB" w:rsidP="00412AEB">
      <w:pPr>
        <w:jc w:val="left"/>
      </w:pPr>
      <w:r>
        <w:t>La juste valeur des instruments financiers dérivés (de niveau 2) est déterminée sur base de modèles d’évaluation et des taux d’intérêt à terme. La variation de la juste valeur des instruments financiers est comptabilisée par le biais du compte de résultats consolidé, étant donné qu'ils ne sont pas comptabilisés comme des instruments de couverture.</w:t>
      </w:r>
    </w:p>
    <w:p w:rsidR="00412AEB" w:rsidRDefault="00412AEB" w:rsidP="00412AEB">
      <w:pPr>
        <w:jc w:val="left"/>
      </w:pPr>
      <w:r w:rsidRPr="00412AEB">
        <w:rPr>
          <w:noProof/>
        </w:rPr>
        <w:drawing>
          <wp:inline distT="0" distB="0" distL="0" distR="0">
            <wp:extent cx="5939790" cy="1342861"/>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39790" cy="1342861"/>
                    </a:xfrm>
                    <a:prstGeom prst="rect">
                      <a:avLst/>
                    </a:prstGeom>
                    <a:noFill/>
                    <a:ln>
                      <a:noFill/>
                    </a:ln>
                  </pic:spPr>
                </pic:pic>
              </a:graphicData>
            </a:graphic>
          </wp:inline>
        </w:drawing>
      </w:r>
    </w:p>
    <w:p w:rsidR="00412AEB" w:rsidRDefault="00412AEB" w:rsidP="00412AEB">
      <w:pPr>
        <w:jc w:val="left"/>
      </w:pPr>
      <w:r w:rsidRPr="00412AEB">
        <w:t>Aucun instrument n’a fait l’objet d’une documentation de couverture au 30 juin 2017.</w:t>
      </w:r>
    </w:p>
    <w:p w:rsidR="0095342A" w:rsidRDefault="00CD4BCF" w:rsidP="00CD4BCF">
      <w:pPr>
        <w:pStyle w:val="Heading4"/>
      </w:pPr>
      <w:r w:rsidRPr="00CD4BCF">
        <w:lastRenderedPageBreak/>
        <w:t>Informations sur la juste valeur des instruments financiers</w:t>
      </w:r>
    </w:p>
    <w:p w:rsidR="00CD4BCF" w:rsidRPr="00CD4BCF" w:rsidRDefault="00CD4BCF" w:rsidP="00CD4BCF">
      <w:pPr>
        <w:pStyle w:val="Heading8"/>
        <w:spacing w:before="0"/>
        <w:rPr>
          <w:rFonts w:asciiTheme="minorHAnsi" w:hAnsiTheme="minorHAnsi"/>
          <w:sz w:val="22"/>
          <w:szCs w:val="22"/>
        </w:rPr>
      </w:pPr>
      <w:r w:rsidRPr="00CD4BCF">
        <w:rPr>
          <w:rFonts w:asciiTheme="minorHAnsi" w:hAnsiTheme="minorHAnsi"/>
          <w:sz w:val="22"/>
          <w:szCs w:val="22"/>
        </w:rPr>
        <w:t>Le tableau ci-après présente les différentes classes d'actifs et passifs financiers avec leur valeur comptable tel que</w:t>
      </w:r>
      <w:r>
        <w:rPr>
          <w:rFonts w:asciiTheme="minorHAnsi" w:hAnsiTheme="minorHAnsi"/>
          <w:sz w:val="22"/>
          <w:szCs w:val="22"/>
        </w:rPr>
        <w:t xml:space="preserve"> p</w:t>
      </w:r>
      <w:r w:rsidRPr="00CD4BCF">
        <w:rPr>
          <w:rFonts w:asciiTheme="minorHAnsi" w:hAnsiTheme="minorHAnsi"/>
          <w:sz w:val="22"/>
          <w:szCs w:val="22"/>
        </w:rPr>
        <w:t>résentée au bilan et leur juste valeur respective et ventilée selon la catégorie d'évaluation.</w:t>
      </w:r>
    </w:p>
    <w:p w:rsidR="00CD4BCF" w:rsidRPr="00CD4BCF" w:rsidRDefault="00CD4BCF" w:rsidP="00CD4BCF">
      <w:pPr>
        <w:pStyle w:val="Heading8"/>
        <w:spacing w:before="0"/>
        <w:rPr>
          <w:rFonts w:asciiTheme="minorHAnsi" w:hAnsiTheme="minorHAnsi"/>
          <w:sz w:val="22"/>
          <w:szCs w:val="22"/>
        </w:rPr>
      </w:pPr>
      <w:r w:rsidRPr="00CD4BCF">
        <w:rPr>
          <w:rFonts w:asciiTheme="minorHAnsi" w:hAnsiTheme="minorHAnsi"/>
          <w:sz w:val="22"/>
          <w:szCs w:val="22"/>
        </w:rPr>
        <w:t>La juste valeur des instruments financiers est déterminée comme suit :</w:t>
      </w:r>
    </w:p>
    <w:p w:rsidR="00CD4BCF" w:rsidRPr="00CD4BCF" w:rsidRDefault="00CD4BCF" w:rsidP="00CD4BCF">
      <w:pPr>
        <w:pStyle w:val="Heading8"/>
        <w:numPr>
          <w:ilvl w:val="0"/>
          <w:numId w:val="15"/>
        </w:numPr>
        <w:spacing w:before="0"/>
        <w:rPr>
          <w:rFonts w:asciiTheme="minorHAnsi" w:hAnsiTheme="minorHAnsi"/>
          <w:sz w:val="22"/>
          <w:szCs w:val="22"/>
        </w:rPr>
      </w:pPr>
      <w:r w:rsidRPr="00CD4BCF">
        <w:rPr>
          <w:rFonts w:asciiTheme="minorHAnsi" w:hAnsiTheme="minorHAnsi"/>
          <w:sz w:val="22"/>
          <w:szCs w:val="22"/>
        </w:rPr>
        <w:t>Si leur échéance est à court terme (ex : dettes et créances commerciales), la juste valeur est présumée</w:t>
      </w:r>
      <w:r>
        <w:rPr>
          <w:rFonts w:asciiTheme="minorHAnsi" w:hAnsiTheme="minorHAnsi"/>
          <w:sz w:val="22"/>
          <w:szCs w:val="22"/>
        </w:rPr>
        <w:t xml:space="preserve"> </w:t>
      </w:r>
      <w:r w:rsidRPr="00CD4BCF">
        <w:rPr>
          <w:rFonts w:asciiTheme="minorHAnsi" w:hAnsiTheme="minorHAnsi"/>
          <w:sz w:val="22"/>
          <w:szCs w:val="22"/>
        </w:rPr>
        <w:t>similaire au coût amorti,</w:t>
      </w:r>
    </w:p>
    <w:p w:rsidR="00CD4BCF" w:rsidRPr="00CD4BCF" w:rsidRDefault="00CD4BCF" w:rsidP="00CD4BCF">
      <w:pPr>
        <w:pStyle w:val="Heading8"/>
        <w:numPr>
          <w:ilvl w:val="0"/>
          <w:numId w:val="15"/>
        </w:numPr>
        <w:spacing w:before="0"/>
        <w:rPr>
          <w:rFonts w:asciiTheme="minorHAnsi" w:hAnsiTheme="minorHAnsi"/>
          <w:sz w:val="22"/>
          <w:szCs w:val="22"/>
        </w:rPr>
      </w:pPr>
      <w:r w:rsidRPr="00CD4BCF">
        <w:rPr>
          <w:rFonts w:asciiTheme="minorHAnsi" w:hAnsiTheme="minorHAnsi"/>
          <w:sz w:val="22"/>
          <w:szCs w:val="22"/>
        </w:rPr>
        <w:t>Pour les dettes à taux fixe, sur base d’une actualisation des flux à taux de marché,</w:t>
      </w:r>
    </w:p>
    <w:p w:rsidR="00CD4BCF" w:rsidRPr="00CD4BCF" w:rsidRDefault="00CD4BCF" w:rsidP="00CD4BCF">
      <w:pPr>
        <w:pStyle w:val="Heading8"/>
        <w:numPr>
          <w:ilvl w:val="0"/>
          <w:numId w:val="15"/>
        </w:numPr>
        <w:spacing w:before="0"/>
        <w:rPr>
          <w:rFonts w:asciiTheme="minorHAnsi" w:hAnsiTheme="minorHAnsi"/>
          <w:sz w:val="22"/>
          <w:szCs w:val="22"/>
        </w:rPr>
      </w:pPr>
      <w:r w:rsidRPr="00CD4BCF">
        <w:rPr>
          <w:rFonts w:asciiTheme="minorHAnsi" w:hAnsiTheme="minorHAnsi"/>
          <w:sz w:val="22"/>
          <w:szCs w:val="22"/>
        </w:rPr>
        <w:t>Pour les dettes à taux variable, la juste valeur est présumée similaire au coût amorti,</w:t>
      </w:r>
    </w:p>
    <w:p w:rsidR="00CD4BCF" w:rsidRPr="00CD4BCF" w:rsidRDefault="00CD4BCF" w:rsidP="00CD4BCF">
      <w:pPr>
        <w:pStyle w:val="Heading8"/>
        <w:numPr>
          <w:ilvl w:val="0"/>
          <w:numId w:val="15"/>
        </w:numPr>
        <w:spacing w:before="0"/>
        <w:rPr>
          <w:rFonts w:asciiTheme="minorHAnsi" w:hAnsiTheme="minorHAnsi"/>
          <w:sz w:val="22"/>
          <w:szCs w:val="22"/>
        </w:rPr>
      </w:pPr>
      <w:r w:rsidRPr="00CD4BCF">
        <w:rPr>
          <w:rFonts w:asciiTheme="minorHAnsi" w:hAnsiTheme="minorHAnsi"/>
          <w:sz w:val="22"/>
          <w:szCs w:val="22"/>
        </w:rPr>
        <w:t xml:space="preserve">Pour les instruments financiers dérivés, la juste valeur est déterminée sur base d’une actualisation des flux   futurs estimés en fonction des courbes de taux d’intérêts </w:t>
      </w:r>
      <w:proofErr w:type="spellStart"/>
      <w:r w:rsidRPr="00CD4BCF">
        <w:rPr>
          <w:rFonts w:asciiTheme="minorHAnsi" w:hAnsiTheme="minorHAnsi"/>
          <w:sz w:val="22"/>
          <w:szCs w:val="22"/>
        </w:rPr>
        <w:t>forward</w:t>
      </w:r>
      <w:proofErr w:type="spellEnd"/>
      <w:r w:rsidRPr="00CD4BCF">
        <w:rPr>
          <w:rFonts w:asciiTheme="minorHAnsi" w:hAnsiTheme="minorHAnsi"/>
          <w:sz w:val="22"/>
          <w:szCs w:val="22"/>
        </w:rPr>
        <w:t>. Cette valeur est communiquée par</w:t>
      </w:r>
      <w:r>
        <w:rPr>
          <w:rFonts w:asciiTheme="minorHAnsi" w:hAnsiTheme="minorHAnsi"/>
          <w:sz w:val="22"/>
          <w:szCs w:val="22"/>
        </w:rPr>
        <w:t xml:space="preserve"> </w:t>
      </w:r>
      <w:r w:rsidRPr="00CD4BCF">
        <w:rPr>
          <w:rFonts w:asciiTheme="minorHAnsi" w:hAnsiTheme="minorHAnsi"/>
          <w:sz w:val="22"/>
          <w:szCs w:val="22"/>
        </w:rPr>
        <w:t>l’institution financière contrepartie,</w:t>
      </w:r>
    </w:p>
    <w:p w:rsidR="00CD4BCF" w:rsidRPr="00CD4BCF" w:rsidRDefault="00CD4BCF" w:rsidP="00CD4BCF">
      <w:pPr>
        <w:pStyle w:val="Heading8"/>
        <w:numPr>
          <w:ilvl w:val="0"/>
          <w:numId w:val="15"/>
        </w:numPr>
        <w:spacing w:before="0"/>
        <w:rPr>
          <w:rFonts w:asciiTheme="minorHAnsi" w:hAnsiTheme="minorHAnsi"/>
          <w:sz w:val="22"/>
          <w:szCs w:val="22"/>
        </w:rPr>
      </w:pPr>
      <w:r w:rsidRPr="00CD4BCF">
        <w:rPr>
          <w:rFonts w:asciiTheme="minorHAnsi" w:hAnsiTheme="minorHAnsi"/>
          <w:sz w:val="22"/>
          <w:szCs w:val="22"/>
        </w:rPr>
        <w:t>Pour les obligations cotées, sur base de la cotation à la clôture (niveau 1).</w:t>
      </w:r>
    </w:p>
    <w:p w:rsidR="00CD4BCF" w:rsidRDefault="00CD4BCF" w:rsidP="00CD4BCF">
      <w:pPr>
        <w:pStyle w:val="Heading8"/>
        <w:spacing w:before="0"/>
        <w:rPr>
          <w:rFonts w:asciiTheme="minorHAnsi" w:hAnsiTheme="minorHAnsi"/>
          <w:sz w:val="22"/>
          <w:szCs w:val="22"/>
        </w:rPr>
      </w:pPr>
    </w:p>
    <w:p w:rsidR="00CD4BCF" w:rsidRPr="00CD4BCF" w:rsidRDefault="00CD4BCF" w:rsidP="00CD4BCF">
      <w:pPr>
        <w:pStyle w:val="Heading8"/>
        <w:spacing w:before="0"/>
        <w:rPr>
          <w:rFonts w:asciiTheme="minorHAnsi" w:hAnsiTheme="minorHAnsi"/>
          <w:sz w:val="22"/>
          <w:szCs w:val="22"/>
        </w:rPr>
      </w:pPr>
      <w:r w:rsidRPr="00CD4BCF">
        <w:rPr>
          <w:rFonts w:asciiTheme="minorHAnsi" w:hAnsiTheme="minorHAnsi"/>
          <w:sz w:val="22"/>
          <w:szCs w:val="22"/>
        </w:rPr>
        <w:t>Les évaluations de la juste valeur des actifs et passifs financiers peuvent être classées dans un des niveaux suivants :</w:t>
      </w:r>
    </w:p>
    <w:p w:rsidR="00CD4BCF" w:rsidRPr="00CD4BCF" w:rsidRDefault="00CD4BCF" w:rsidP="00CD4BCF">
      <w:pPr>
        <w:pStyle w:val="Heading8"/>
        <w:numPr>
          <w:ilvl w:val="0"/>
          <w:numId w:val="16"/>
        </w:numPr>
        <w:spacing w:before="0"/>
        <w:rPr>
          <w:rFonts w:asciiTheme="minorHAnsi" w:hAnsiTheme="minorHAnsi"/>
          <w:sz w:val="22"/>
          <w:szCs w:val="22"/>
        </w:rPr>
      </w:pPr>
      <w:r w:rsidRPr="00CD4BCF">
        <w:rPr>
          <w:rFonts w:asciiTheme="minorHAnsi" w:hAnsiTheme="minorHAnsi"/>
          <w:sz w:val="22"/>
          <w:szCs w:val="22"/>
        </w:rPr>
        <w:t>Niveau 1 : la juste valeur des actifs et passifs financiers avec des conditions standards et négociées sur des marchés</w:t>
      </w:r>
      <w:r>
        <w:rPr>
          <w:rFonts w:asciiTheme="minorHAnsi" w:hAnsiTheme="minorHAnsi"/>
          <w:sz w:val="22"/>
          <w:szCs w:val="22"/>
        </w:rPr>
        <w:t xml:space="preserve"> </w:t>
      </w:r>
      <w:r w:rsidRPr="00CD4BCF">
        <w:rPr>
          <w:rFonts w:asciiTheme="minorHAnsi" w:hAnsiTheme="minorHAnsi"/>
          <w:sz w:val="22"/>
          <w:szCs w:val="22"/>
        </w:rPr>
        <w:t>actifs et liquides est déterminée sur base des prix cotés sur les marchés actifs pour des actifs et passifs similaires,</w:t>
      </w:r>
    </w:p>
    <w:p w:rsidR="00CD4BCF" w:rsidRPr="00CD4BCF" w:rsidRDefault="00CD4BCF" w:rsidP="00CD4BCF">
      <w:pPr>
        <w:pStyle w:val="Heading8"/>
        <w:numPr>
          <w:ilvl w:val="0"/>
          <w:numId w:val="16"/>
        </w:numPr>
        <w:spacing w:before="0"/>
        <w:rPr>
          <w:rFonts w:asciiTheme="minorHAnsi" w:hAnsiTheme="minorHAnsi"/>
          <w:sz w:val="22"/>
          <w:szCs w:val="22"/>
        </w:rPr>
      </w:pPr>
      <w:r w:rsidRPr="00CD4BCF">
        <w:rPr>
          <w:rFonts w:asciiTheme="minorHAnsi" w:hAnsiTheme="minorHAnsi"/>
          <w:sz w:val="22"/>
          <w:szCs w:val="22"/>
        </w:rPr>
        <w:t>Niveau 2 : la juste valeur des autres actifs et passifs financiers est déterminée selon des modèles de valorisation</w:t>
      </w:r>
      <w:r>
        <w:rPr>
          <w:rFonts w:asciiTheme="minorHAnsi" w:hAnsiTheme="minorHAnsi"/>
          <w:sz w:val="22"/>
          <w:szCs w:val="22"/>
        </w:rPr>
        <w:t xml:space="preserve"> </w:t>
      </w:r>
      <w:r w:rsidRPr="00CD4BCF">
        <w:rPr>
          <w:rFonts w:asciiTheme="minorHAnsi" w:hAnsiTheme="minorHAnsi"/>
          <w:sz w:val="22"/>
          <w:szCs w:val="22"/>
        </w:rPr>
        <w:t>généralement acceptés sur base de flux de trésorerie actualisés en utilisant des prix de transactions observables sur le marché et des cotations pour des instruments similaires. Ceci concerne principalement des instruments</w:t>
      </w:r>
      <w:r>
        <w:rPr>
          <w:rFonts w:asciiTheme="minorHAnsi" w:hAnsiTheme="minorHAnsi"/>
          <w:sz w:val="22"/>
          <w:szCs w:val="22"/>
        </w:rPr>
        <w:t xml:space="preserve"> </w:t>
      </w:r>
      <w:r w:rsidRPr="00CD4BCF">
        <w:rPr>
          <w:rFonts w:asciiTheme="minorHAnsi" w:hAnsiTheme="minorHAnsi"/>
          <w:sz w:val="22"/>
          <w:szCs w:val="22"/>
        </w:rPr>
        <w:t>financiers dérivés,</w:t>
      </w:r>
    </w:p>
    <w:p w:rsidR="00CD4BCF" w:rsidRPr="00CD4BCF" w:rsidRDefault="00CD4BCF" w:rsidP="00CD4BCF">
      <w:pPr>
        <w:pStyle w:val="Heading8"/>
        <w:numPr>
          <w:ilvl w:val="0"/>
          <w:numId w:val="16"/>
        </w:numPr>
        <w:spacing w:before="0"/>
        <w:rPr>
          <w:rFonts w:asciiTheme="minorHAnsi" w:hAnsiTheme="minorHAnsi"/>
          <w:sz w:val="22"/>
          <w:szCs w:val="22"/>
        </w:rPr>
      </w:pPr>
      <w:r w:rsidRPr="00CD4BCF">
        <w:rPr>
          <w:rFonts w:asciiTheme="minorHAnsi" w:hAnsiTheme="minorHAnsi"/>
          <w:sz w:val="22"/>
          <w:szCs w:val="22"/>
        </w:rPr>
        <w:t xml:space="preserve">Niveau 3 : la juste valeur des actifs et passifs financiers restants sont déduits de techniques de </w:t>
      </w:r>
      <w:r w:rsidR="006F603E" w:rsidRPr="00CD4BCF">
        <w:rPr>
          <w:rFonts w:asciiTheme="minorHAnsi" w:hAnsiTheme="minorHAnsi"/>
          <w:sz w:val="22"/>
          <w:szCs w:val="22"/>
        </w:rPr>
        <w:t>valorisation</w:t>
      </w:r>
      <w:r w:rsidR="006F603E">
        <w:rPr>
          <w:rFonts w:asciiTheme="minorHAnsi" w:hAnsiTheme="minorHAnsi"/>
          <w:sz w:val="22"/>
          <w:szCs w:val="22"/>
        </w:rPr>
        <w:t xml:space="preserve"> </w:t>
      </w:r>
      <w:r w:rsidR="006F603E" w:rsidRPr="00CD4BCF">
        <w:rPr>
          <w:rFonts w:asciiTheme="minorHAnsi" w:hAnsiTheme="minorHAnsi"/>
          <w:sz w:val="22"/>
          <w:szCs w:val="22"/>
        </w:rPr>
        <w:t>comprenant</w:t>
      </w:r>
      <w:r w:rsidRPr="00CD4BCF">
        <w:rPr>
          <w:rFonts w:asciiTheme="minorHAnsi" w:hAnsiTheme="minorHAnsi"/>
          <w:sz w:val="22"/>
          <w:szCs w:val="22"/>
        </w:rPr>
        <w:t xml:space="preserve"> des données qui ne sont basées sur des données de marché observables.</w:t>
      </w:r>
    </w:p>
    <w:p w:rsidR="0095342A" w:rsidRDefault="0095342A" w:rsidP="00CD4BCF">
      <w:pPr>
        <w:pStyle w:val="Heading4"/>
        <w:numPr>
          <w:ilvl w:val="0"/>
          <w:numId w:val="0"/>
        </w:numPr>
      </w:pPr>
    </w:p>
    <w:p w:rsidR="00CD4BCF" w:rsidRPr="00CD4BCF" w:rsidRDefault="00CD4BCF" w:rsidP="00CD4BCF">
      <w:r w:rsidRPr="00CD4BCF">
        <w:rPr>
          <w:noProof/>
        </w:rPr>
        <w:drawing>
          <wp:inline distT="0" distB="0" distL="0" distR="0">
            <wp:extent cx="5939790" cy="322048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39790" cy="3220480"/>
                    </a:xfrm>
                    <a:prstGeom prst="rect">
                      <a:avLst/>
                    </a:prstGeom>
                    <a:noFill/>
                    <a:ln>
                      <a:noFill/>
                    </a:ln>
                  </pic:spPr>
                </pic:pic>
              </a:graphicData>
            </a:graphic>
          </wp:inline>
        </w:drawing>
      </w:r>
    </w:p>
    <w:p w:rsidR="00D5336C" w:rsidRDefault="00D5336C" w:rsidP="00790CBB">
      <w:pPr>
        <w:pStyle w:val="Heading4"/>
      </w:pPr>
      <w:r>
        <w:lastRenderedPageBreak/>
        <w:t>Engagements financiers</w:t>
      </w:r>
    </w:p>
    <w:p w:rsidR="00D5336C" w:rsidRPr="00D5336C" w:rsidRDefault="0019410B" w:rsidP="0019410B">
      <w:r>
        <w:t xml:space="preserve">Le Groupe est soumis, pour la plupart des dettes financières mentionnées ci-avant, à certains engagements financiers. Ces engagements tiennent compte </w:t>
      </w:r>
      <w:proofErr w:type="gramStart"/>
      <w:r>
        <w:t>entre autre</w:t>
      </w:r>
      <w:proofErr w:type="gramEnd"/>
      <w:r>
        <w:t xml:space="preserve"> des capitaux propres, de l’endettement financier net et de la relation de celui-ci avec les capitaux propres et les stocks. Au 30 juin 2017, tout comme les exercices précédents, le Groupe était en conformité avec tous ces engagements financiers.</w:t>
      </w:r>
    </w:p>
    <w:p w:rsidR="00412AEB" w:rsidRDefault="0019410B" w:rsidP="00412AEB">
      <w:pPr>
        <w:pStyle w:val="Heading3"/>
      </w:pPr>
      <w:r>
        <w:t xml:space="preserve">Note 22. </w:t>
      </w:r>
      <w:r w:rsidR="00412AEB">
        <w:t>Dettes commerciales</w:t>
      </w:r>
    </w:p>
    <w:p w:rsidR="00412AEB" w:rsidRDefault="005B2906" w:rsidP="00412AEB">
      <w:r w:rsidRPr="005B2906">
        <w:rPr>
          <w:noProof/>
        </w:rPr>
        <w:drawing>
          <wp:inline distT="0" distB="0" distL="0" distR="0">
            <wp:extent cx="5939790" cy="900249"/>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39790" cy="900249"/>
                    </a:xfrm>
                    <a:prstGeom prst="rect">
                      <a:avLst/>
                    </a:prstGeom>
                    <a:noFill/>
                    <a:ln>
                      <a:noFill/>
                    </a:ln>
                  </pic:spPr>
                </pic:pic>
              </a:graphicData>
            </a:graphic>
          </wp:inline>
        </w:drawing>
      </w:r>
    </w:p>
    <w:p w:rsidR="00412AEB" w:rsidRDefault="0019410B" w:rsidP="00412AEB">
      <w:pPr>
        <w:pStyle w:val="Heading3"/>
      </w:pPr>
      <w:r>
        <w:t xml:space="preserve">Note 23. </w:t>
      </w:r>
      <w:r w:rsidR="00412AEB">
        <w:t>Autres passifs courants</w:t>
      </w:r>
    </w:p>
    <w:p w:rsidR="00412AEB" w:rsidRDefault="0019410B" w:rsidP="00412AEB">
      <w:r w:rsidRPr="0019410B">
        <w:rPr>
          <w:noProof/>
        </w:rPr>
        <w:drawing>
          <wp:inline distT="0" distB="0" distL="0" distR="0">
            <wp:extent cx="5939790" cy="2682186"/>
            <wp:effectExtent l="0" t="0" r="3810" b="444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39790" cy="2682186"/>
                    </a:xfrm>
                    <a:prstGeom prst="rect">
                      <a:avLst/>
                    </a:prstGeom>
                    <a:noFill/>
                    <a:ln>
                      <a:noFill/>
                    </a:ln>
                  </pic:spPr>
                </pic:pic>
              </a:graphicData>
            </a:graphic>
          </wp:inline>
        </w:drawing>
      </w:r>
    </w:p>
    <w:p w:rsidR="00412AEB" w:rsidRDefault="0019410B" w:rsidP="00412AEB">
      <w:pPr>
        <w:pStyle w:val="Heading3"/>
      </w:pPr>
      <w:r>
        <w:t xml:space="preserve">Note 24. </w:t>
      </w:r>
      <w:r w:rsidR="00412AEB">
        <w:t>Variation du fonds de roulement</w:t>
      </w:r>
    </w:p>
    <w:p w:rsidR="00412AEB" w:rsidRDefault="00412AEB" w:rsidP="00412AEB">
      <w:r w:rsidRPr="00412AEB">
        <w:rPr>
          <w:noProof/>
        </w:rPr>
        <w:drawing>
          <wp:inline distT="0" distB="0" distL="0" distR="0">
            <wp:extent cx="5939790" cy="1053734"/>
            <wp:effectExtent l="0" t="0" r="381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39790" cy="1053734"/>
                    </a:xfrm>
                    <a:prstGeom prst="rect">
                      <a:avLst/>
                    </a:prstGeom>
                    <a:noFill/>
                    <a:ln>
                      <a:noFill/>
                    </a:ln>
                  </pic:spPr>
                </pic:pic>
              </a:graphicData>
            </a:graphic>
          </wp:inline>
        </w:drawing>
      </w:r>
    </w:p>
    <w:p w:rsidR="0070575D" w:rsidRDefault="0070575D" w:rsidP="00412AEB"/>
    <w:p w:rsidR="00412AEB" w:rsidRDefault="0019410B" w:rsidP="00412AEB">
      <w:pPr>
        <w:pStyle w:val="Heading3"/>
      </w:pPr>
      <w:r>
        <w:lastRenderedPageBreak/>
        <w:t xml:space="preserve">Note 25. </w:t>
      </w:r>
      <w:r w:rsidR="00412AEB">
        <w:t>Saisonnalité des résultats</w:t>
      </w:r>
      <w:r w:rsidR="00412AEB">
        <w:tab/>
      </w:r>
      <w:r w:rsidR="00412AEB">
        <w:tab/>
      </w:r>
      <w:r w:rsidR="00412AEB">
        <w:tab/>
      </w:r>
    </w:p>
    <w:p w:rsidR="00412AEB" w:rsidRDefault="00412AEB" w:rsidP="00412AEB">
      <w:r>
        <w:t>Dû au caractère intrinsèque de son activité, le Développement Immobilier, les résultats du 1er semestre 2017 ne sont pas extrapolables à l'ensemble de l'année.</w:t>
      </w:r>
      <w:r>
        <w:tab/>
        <w:t>Ceux-ci dépendent des opérations qui seront définitivement conclues avant le 31 décembre 2017.</w:t>
      </w:r>
    </w:p>
    <w:p w:rsidR="00412AEB" w:rsidRDefault="0019410B" w:rsidP="00412AEB">
      <w:pPr>
        <w:pStyle w:val="Heading3"/>
      </w:pPr>
      <w:r>
        <w:t xml:space="preserve">Note 26. </w:t>
      </w:r>
      <w:r w:rsidR="004A0518">
        <w:t>É</w:t>
      </w:r>
      <w:r w:rsidR="00412AEB">
        <w:t>vènements postérieurs à la clôture</w:t>
      </w:r>
      <w:r w:rsidR="00412AEB">
        <w:tab/>
      </w:r>
      <w:r w:rsidR="00412AEB">
        <w:tab/>
      </w:r>
      <w:r w:rsidR="00412AEB">
        <w:tab/>
      </w:r>
    </w:p>
    <w:p w:rsidR="00412AEB" w:rsidRDefault="00412AEB" w:rsidP="00412AEB">
      <w:r>
        <w:t>Aucun événement significatif susceptible de modifier les états financiers n’est intervenu depuis la date de clôture du 30 juin 2017 jusqu’à la date du 31 août 2017, date à laquelle les états financiers ont été approuvés par le Conseil d’Administration.</w:t>
      </w:r>
      <w:r>
        <w:tab/>
      </w:r>
      <w:r>
        <w:tab/>
      </w:r>
      <w:r>
        <w:tab/>
      </w:r>
    </w:p>
    <w:p w:rsidR="00412AEB" w:rsidRDefault="00412AEB" w:rsidP="00412AEB">
      <w:pPr>
        <w:pStyle w:val="Heading3"/>
      </w:pPr>
      <w:r>
        <w:t>Autres événements postérieurs à la clôture</w:t>
      </w:r>
      <w:r>
        <w:tab/>
      </w:r>
      <w:r>
        <w:tab/>
      </w:r>
      <w:r>
        <w:tab/>
      </w:r>
    </w:p>
    <w:p w:rsidR="00412AEB" w:rsidRDefault="00412AEB" w:rsidP="00412AEB">
      <w:pPr>
        <w:pStyle w:val="Heading4"/>
      </w:pPr>
      <w:bookmarkStart w:id="19" w:name="_Hlk491938355"/>
      <w:proofErr w:type="spellStart"/>
      <w:r>
        <w:t>Vilpro</w:t>
      </w:r>
      <w:proofErr w:type="spellEnd"/>
      <w:r>
        <w:tab/>
      </w:r>
      <w:bookmarkEnd w:id="19"/>
      <w:r>
        <w:tab/>
      </w:r>
      <w:r>
        <w:tab/>
      </w:r>
    </w:p>
    <w:p w:rsidR="00412AEB" w:rsidRDefault="00412AEB" w:rsidP="0019410B">
      <w:pPr>
        <w:spacing w:after="0"/>
      </w:pPr>
      <w:proofErr w:type="spellStart"/>
      <w:r>
        <w:t>Immobel</w:t>
      </w:r>
      <w:proofErr w:type="spellEnd"/>
      <w:r>
        <w:t xml:space="preserve">, détenant 50% des titres de la société VILPRO, et les autres actionnaires (50%) ont signé en date du 14 juillet 2017 un compromis de cession de 100% des titres de la société VILPRO. </w:t>
      </w:r>
    </w:p>
    <w:p w:rsidR="00412AEB" w:rsidRDefault="00412AEB" w:rsidP="0019410B">
      <w:pPr>
        <w:spacing w:after="0"/>
      </w:pPr>
      <w:r>
        <w:t>La transaction devrait être finalisée début octobre 2017.</w:t>
      </w:r>
      <w:r>
        <w:tab/>
      </w:r>
      <w:r>
        <w:tab/>
      </w:r>
      <w:r>
        <w:tab/>
      </w:r>
    </w:p>
    <w:p w:rsidR="008A5F12" w:rsidRDefault="008A5F12" w:rsidP="008A5F12"/>
    <w:p w:rsidR="00A82955" w:rsidRDefault="00A82955" w:rsidP="00A82955">
      <w:pPr>
        <w:pStyle w:val="Heading4"/>
      </w:pPr>
      <w:r>
        <w:t>CBD One</w:t>
      </w:r>
    </w:p>
    <w:p w:rsidR="00A82955" w:rsidRPr="00033729" w:rsidRDefault="00A82955" w:rsidP="00A82955">
      <w:pPr>
        <w:rPr>
          <w:color w:val="auto"/>
        </w:rPr>
      </w:pPr>
      <w:r w:rsidRPr="00033729">
        <w:t>Par un arrêt du 9 août la cour d’appel de Varsovie a rejeté l’entièreté des actions contre le projet CBD One, lequel avait été suspendu à cause d’actions en revendication.</w:t>
      </w:r>
      <w:r w:rsidRPr="00033729">
        <w:rPr>
          <w:color w:val="auto"/>
        </w:rPr>
        <w:t xml:space="preserve"> </w:t>
      </w:r>
      <w:r w:rsidRPr="00033729">
        <w:t>Le développement de ce projet devrait reprendre donc son cours en Q4 2017. Ce projet emblématique de 18.000</w:t>
      </w:r>
      <w:r w:rsidRPr="00414538">
        <w:t xml:space="preserve"> m², localisé au cœur de la capitale polonaise sur la seule intersection des 2 lignes de métro sera notamment remarquable par son architecture unique, développée par le bureau international </w:t>
      </w:r>
      <w:proofErr w:type="spellStart"/>
      <w:r w:rsidRPr="00414538">
        <w:t>Arquitectonica</w:t>
      </w:r>
      <w:proofErr w:type="spellEnd"/>
      <w:r w:rsidRPr="00414538">
        <w:t xml:space="preserve"> en collaboration avec le bureau Polonais </w:t>
      </w:r>
      <w:proofErr w:type="spellStart"/>
      <w:r w:rsidRPr="00414538">
        <w:t>Kazimierski</w:t>
      </w:r>
      <w:proofErr w:type="spellEnd"/>
      <w:r w:rsidRPr="00414538">
        <w:t xml:space="preserve"> i </w:t>
      </w:r>
      <w:proofErr w:type="spellStart"/>
      <w:r w:rsidRPr="00414538">
        <w:t>Ryba</w:t>
      </w:r>
      <w:proofErr w:type="spellEnd"/>
      <w:r w:rsidRPr="00414538">
        <w:t>.</w:t>
      </w:r>
    </w:p>
    <w:p w:rsidR="008E36C9" w:rsidRDefault="008E36C9" w:rsidP="008A5F12"/>
    <w:p w:rsidR="008E36C9" w:rsidRDefault="008E36C9" w:rsidP="008A5F12"/>
    <w:p w:rsidR="008E36C9" w:rsidRDefault="008E36C9" w:rsidP="008A5F12"/>
    <w:p w:rsidR="008E36C9" w:rsidRDefault="008E36C9" w:rsidP="008A5F12"/>
    <w:p w:rsidR="008E36C9" w:rsidRDefault="008E36C9" w:rsidP="008A5F12"/>
    <w:p w:rsidR="008E36C9" w:rsidRDefault="008E36C9" w:rsidP="008A5F12"/>
    <w:p w:rsidR="008E36C9" w:rsidRDefault="008E36C9" w:rsidP="008A5F12"/>
    <w:p w:rsidR="008E36C9" w:rsidRDefault="008E36C9" w:rsidP="008A5F12"/>
    <w:p w:rsidR="008E36C9" w:rsidRDefault="008E36C9" w:rsidP="008A5F12"/>
    <w:p w:rsidR="008E36C9" w:rsidRDefault="008E36C9" w:rsidP="008A5F12"/>
    <w:p w:rsidR="008E36C9" w:rsidRDefault="008E36C9" w:rsidP="008A5F12"/>
    <w:p w:rsidR="00057443" w:rsidRDefault="00CA5ECB" w:rsidP="00CA5ECB">
      <w:pPr>
        <w:pStyle w:val="Heading1"/>
      </w:pPr>
      <w:bookmarkStart w:id="20" w:name="_Toc491768802"/>
      <w:r>
        <w:lastRenderedPageBreak/>
        <w:t>Déclaration des personnes reponsables</w:t>
      </w:r>
      <w:bookmarkEnd w:id="20"/>
    </w:p>
    <w:p w:rsidR="00CA5ECB" w:rsidRDefault="00CA5ECB" w:rsidP="00CA5ECB">
      <w:r>
        <w:t xml:space="preserve">AHO Consulting </w:t>
      </w:r>
      <w:proofErr w:type="spellStart"/>
      <w:r>
        <w:t>bvba</w:t>
      </w:r>
      <w:proofErr w:type="spellEnd"/>
      <w:r>
        <w:t xml:space="preserve">, représentée par M. Alexander HODAC, en qualité de Chief </w:t>
      </w:r>
      <w:proofErr w:type="spellStart"/>
      <w:r>
        <w:t>Executive</w:t>
      </w:r>
      <w:proofErr w:type="spellEnd"/>
      <w:r>
        <w:t xml:space="preserve"> </w:t>
      </w:r>
      <w:proofErr w:type="spellStart"/>
      <w:r>
        <w:t>Officer</w:t>
      </w:r>
      <w:proofErr w:type="spellEnd"/>
      <w:r>
        <w:t xml:space="preserve"> et Val U Invest </w:t>
      </w:r>
      <w:proofErr w:type="spellStart"/>
      <w:r>
        <w:t>sprl</w:t>
      </w:r>
      <w:proofErr w:type="spellEnd"/>
      <w:r>
        <w:t xml:space="preserve">, représentée par M. Valéry AUTIN, en qualité de Chief Financial </w:t>
      </w:r>
      <w:proofErr w:type="spellStart"/>
      <w:r>
        <w:t>Officer</w:t>
      </w:r>
      <w:proofErr w:type="spellEnd"/>
      <w:r>
        <w:t xml:space="preserve"> déclarent qu'à leur connaissance :</w:t>
      </w:r>
    </w:p>
    <w:p w:rsidR="00CA5ECB" w:rsidRDefault="00CA5ECB" w:rsidP="00CA5ECB">
      <w:pPr>
        <w:pStyle w:val="ListParagraph"/>
      </w:pPr>
      <w:proofErr w:type="gramStart"/>
      <w:r>
        <w:t>le</w:t>
      </w:r>
      <w:proofErr w:type="gramEnd"/>
      <w:r>
        <w:t xml:space="preserve"> rapport intermédiaire contient un exposé fidèle des événements importants et, le cas échéant, des principales transactions entre parties liées survenues au cours des 6 premiers mois de d’exercice, et de leur incidence sur le jeu d’états financiers résumés, ainsi qu’une description des principaux risques et incertitudes pour les mois restants de l’exercice.</w:t>
      </w:r>
    </w:p>
    <w:p w:rsidR="00CA5ECB" w:rsidRPr="00CA5ECB" w:rsidRDefault="00CA5ECB" w:rsidP="00CA5ECB">
      <w:pPr>
        <w:pStyle w:val="ListParagraph"/>
      </w:pPr>
      <w:proofErr w:type="gramStart"/>
      <w:r>
        <w:t>le</w:t>
      </w:r>
      <w:proofErr w:type="gramEnd"/>
      <w:r>
        <w:t xml:space="preserve"> jeu d’états financiers résumés, établi conformément aux normes comptables applicables et ayant fait l'objet d’une revue limitée par le commissaire, donne une image fidèle du patrimoine, de la situation financière et des résultats du Groupe IMMOBEL et des filiales comprises dans la consolidation.</w:t>
      </w:r>
    </w:p>
    <w:p w:rsidR="00CA5ECB" w:rsidRDefault="00CA5ECB" w:rsidP="00CA5ECB"/>
    <w:p w:rsidR="008A5F12" w:rsidRDefault="008A5F12">
      <w:pPr>
        <w:spacing w:after="80"/>
        <w:jc w:val="left"/>
        <w:rPr>
          <w:rFonts w:asciiTheme="majorHAnsi" w:eastAsiaTheme="majorEastAsia" w:hAnsiTheme="majorHAnsi" w:cstheme="majorBidi"/>
          <w:caps/>
          <w:color w:val="303874"/>
          <w:sz w:val="32"/>
          <w:szCs w:val="32"/>
        </w:rPr>
      </w:pPr>
      <w:r>
        <w:br w:type="page"/>
      </w:r>
    </w:p>
    <w:p w:rsidR="00CA5ECB" w:rsidRPr="00CA5ECB" w:rsidRDefault="00236F00" w:rsidP="00236F00">
      <w:pPr>
        <w:pStyle w:val="Heading1"/>
      </w:pPr>
      <w:bookmarkStart w:id="21" w:name="_Toc491768803"/>
      <w:r>
        <w:lastRenderedPageBreak/>
        <w:t>Rapport du Commisaire</w:t>
      </w:r>
      <w:bookmarkEnd w:id="21"/>
    </w:p>
    <w:p w:rsidR="00506D5C" w:rsidRPr="00506D5C" w:rsidRDefault="00EB1B88" w:rsidP="00EB1B88">
      <w:r>
        <w:rPr>
          <w:rFonts w:ascii="Verdana" w:hAnsi="Verdana" w:cs="Tahoma"/>
          <w:b/>
          <w:bCs/>
          <w:noProof/>
          <w:color w:val="000000"/>
          <w:sz w:val="20"/>
        </w:rPr>
        <w:drawing>
          <wp:inline distT="0" distB="0" distL="0" distR="0">
            <wp:extent cx="5177642" cy="7319833"/>
            <wp:effectExtent l="133350" t="114300" r="137795" b="167005"/>
            <wp:docPr id="16" name="Picture 16" descr="C:\Users\mpa\AppData\Local\Microsoft\Windows\INetCache\Content.Word\Pages from Immobel Conso 30 06 2017 FR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pa\AppData\Local\Microsoft\Windows\INetCache\Content.Word\Pages from Immobel Conso 30 06 2017 FR_Page_1.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193519" cy="73422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ectPr w:rsidR="00506D5C" w:rsidRPr="00506D5C" w:rsidSect="00F406A3">
      <w:headerReference w:type="default" r:id="rId46"/>
      <w:footerReference w:type="default" r:id="rId47"/>
      <w:headerReference w:type="first" r:id="rId48"/>
      <w:footerReference w:type="first" r:id="rId49"/>
      <w:pgSz w:w="11906" w:h="16838" w:code="9"/>
      <w:pgMar w:top="2835" w:right="1276" w:bottom="1440" w:left="1276"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955" w:rsidRDefault="00A82955" w:rsidP="00E86EF6">
      <w:pPr>
        <w:spacing w:after="0"/>
      </w:pPr>
      <w:r>
        <w:separator/>
      </w:r>
    </w:p>
    <w:p w:rsidR="00A82955" w:rsidRDefault="00A82955"/>
  </w:endnote>
  <w:endnote w:type="continuationSeparator" w:id="0">
    <w:p w:rsidR="00A82955" w:rsidRDefault="00A82955" w:rsidP="00E86EF6">
      <w:pPr>
        <w:spacing w:after="0"/>
      </w:pPr>
      <w:r>
        <w:continuationSeparator/>
      </w:r>
    </w:p>
    <w:p w:rsidR="00A82955" w:rsidRDefault="00A829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303536"/>
      <w:docPartObj>
        <w:docPartGallery w:val="Page Numbers (Bottom of Page)"/>
        <w:docPartUnique/>
      </w:docPartObj>
    </w:sdtPr>
    <w:sdtEndPr>
      <w:rPr>
        <w:noProof/>
        <w:sz w:val="18"/>
      </w:rPr>
    </w:sdtEndPr>
    <w:sdtContent>
      <w:p w:rsidR="00A82955" w:rsidRPr="00442A33" w:rsidRDefault="00A82955" w:rsidP="003B7A19">
        <w:pPr>
          <w:pStyle w:val="Footer"/>
          <w:jc w:val="center"/>
          <w:rPr>
            <w:noProof/>
            <w:sz w:val="1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2"/>
          <w:gridCol w:w="1100"/>
          <w:gridCol w:w="4172"/>
        </w:tblGrid>
        <w:tr w:rsidR="00A82955" w:rsidTr="00190EC4">
          <w:tc>
            <w:tcPr>
              <w:tcW w:w="1671" w:type="pct"/>
            </w:tcPr>
            <w:p w:rsidR="00A82955" w:rsidRPr="006B161F" w:rsidRDefault="00A82955" w:rsidP="009D7D9B">
              <w:pPr>
                <w:pStyle w:val="Footer"/>
                <w:jc w:val="left"/>
                <w:rPr>
                  <w:rFonts w:cstheme="minorHAnsi"/>
                  <w:sz w:val="16"/>
                  <w:szCs w:val="16"/>
                </w:rPr>
              </w:pPr>
            </w:p>
          </w:tc>
          <w:tc>
            <w:tcPr>
              <w:tcW w:w="450" w:type="pct"/>
            </w:tcPr>
            <w:p w:rsidR="00A82955" w:rsidRPr="006B161F" w:rsidRDefault="00A82955" w:rsidP="009D7D9B">
              <w:pPr>
                <w:pStyle w:val="Footer"/>
                <w:jc w:val="center"/>
                <w:rPr>
                  <w:rFonts w:cstheme="minorHAnsi"/>
                  <w:sz w:val="16"/>
                  <w:szCs w:val="16"/>
                </w:rPr>
              </w:pPr>
              <w:r w:rsidRPr="006B161F">
                <w:rPr>
                  <w:rFonts w:cstheme="minorHAnsi"/>
                  <w:sz w:val="16"/>
                  <w:szCs w:val="16"/>
                </w:rPr>
                <w:fldChar w:fldCharType="begin"/>
              </w:r>
              <w:r w:rsidRPr="006B161F">
                <w:rPr>
                  <w:rFonts w:cstheme="minorHAnsi"/>
                  <w:sz w:val="16"/>
                  <w:szCs w:val="16"/>
                </w:rPr>
                <w:instrText xml:space="preserve"> PAGE   \* MERGEFORMAT </w:instrText>
              </w:r>
              <w:r w:rsidRPr="006B161F">
                <w:rPr>
                  <w:rFonts w:cstheme="minorHAnsi"/>
                  <w:sz w:val="16"/>
                  <w:szCs w:val="16"/>
                </w:rPr>
                <w:fldChar w:fldCharType="separate"/>
              </w:r>
              <w:r w:rsidR="00913C04">
                <w:rPr>
                  <w:rFonts w:cstheme="minorHAnsi"/>
                  <w:noProof/>
                  <w:sz w:val="16"/>
                  <w:szCs w:val="16"/>
                </w:rPr>
                <w:t>6</w:t>
              </w:r>
              <w:r w:rsidRPr="006B161F">
                <w:rPr>
                  <w:rFonts w:cstheme="minorHAnsi"/>
                  <w:noProof/>
                  <w:sz w:val="16"/>
                  <w:szCs w:val="16"/>
                </w:rPr>
                <w:fldChar w:fldCharType="end"/>
              </w:r>
              <w:r w:rsidRPr="006B161F">
                <w:rPr>
                  <w:rFonts w:cstheme="minorHAnsi"/>
                  <w:noProof/>
                  <w:sz w:val="16"/>
                  <w:szCs w:val="16"/>
                </w:rPr>
                <w:t xml:space="preserve"> / </w:t>
              </w:r>
              <w:r w:rsidRPr="006B161F">
                <w:rPr>
                  <w:rFonts w:cstheme="minorHAnsi"/>
                  <w:noProof/>
                  <w:sz w:val="16"/>
                  <w:szCs w:val="16"/>
                </w:rPr>
                <w:fldChar w:fldCharType="begin"/>
              </w:r>
              <w:r w:rsidRPr="006B161F">
                <w:rPr>
                  <w:rFonts w:cstheme="minorHAnsi"/>
                  <w:noProof/>
                  <w:sz w:val="16"/>
                  <w:szCs w:val="16"/>
                </w:rPr>
                <w:instrText xml:space="preserve"> NUMPAGES  \* Arabic  \* MERGEFORMAT </w:instrText>
              </w:r>
              <w:r w:rsidRPr="006B161F">
                <w:rPr>
                  <w:rFonts w:cstheme="minorHAnsi"/>
                  <w:noProof/>
                  <w:sz w:val="16"/>
                  <w:szCs w:val="16"/>
                </w:rPr>
                <w:fldChar w:fldCharType="separate"/>
              </w:r>
              <w:r w:rsidR="00913C04">
                <w:rPr>
                  <w:rFonts w:cstheme="minorHAnsi"/>
                  <w:noProof/>
                  <w:sz w:val="16"/>
                  <w:szCs w:val="16"/>
                </w:rPr>
                <w:t>43</w:t>
              </w:r>
              <w:r w:rsidRPr="006B161F">
                <w:rPr>
                  <w:rFonts w:cstheme="minorHAnsi"/>
                  <w:noProof/>
                  <w:sz w:val="16"/>
                  <w:szCs w:val="16"/>
                </w:rPr>
                <w:fldChar w:fldCharType="end"/>
              </w:r>
            </w:p>
          </w:tc>
          <w:sdt>
            <w:sdtPr>
              <w:rPr>
                <w:rFonts w:cstheme="minorHAnsi"/>
                <w:sz w:val="16"/>
                <w:szCs w:val="16"/>
              </w:rPr>
              <w:alias w:val="Title"/>
              <w:tag w:val=""/>
              <w:id w:val="1662742018"/>
              <w:placeholder>
                <w:docPart w:val="D45BC296C92846DB9075F215DEDDEE78"/>
              </w:placeholder>
              <w:dataBinding w:prefixMappings="xmlns:ns0='http://purl.org/dc/elements/1.1/' xmlns:ns1='http://schemas.openxmlformats.org/package/2006/metadata/core-properties' " w:xpath="/ns1:coreProperties[1]/ns0:title[1]" w:storeItemID="{6C3C8BC8-F283-45AE-878A-BAB7291924A1}"/>
              <w:text/>
            </w:sdtPr>
            <w:sdtEndPr/>
            <w:sdtContent>
              <w:tc>
                <w:tcPr>
                  <w:tcW w:w="1708" w:type="pct"/>
                </w:tcPr>
                <w:p w:rsidR="00A82955" w:rsidRPr="006B161F" w:rsidRDefault="00A82955" w:rsidP="009D7D9B">
                  <w:pPr>
                    <w:pStyle w:val="Footer"/>
                    <w:tabs>
                      <w:tab w:val="clear" w:pos="4513"/>
                      <w:tab w:val="center" w:pos="3924"/>
                    </w:tabs>
                    <w:jc w:val="right"/>
                    <w:rPr>
                      <w:rFonts w:cstheme="minorHAnsi"/>
                      <w:sz w:val="16"/>
                      <w:szCs w:val="16"/>
                    </w:rPr>
                  </w:pPr>
                  <w:r>
                    <w:rPr>
                      <w:rFonts w:cstheme="minorHAnsi"/>
                      <w:sz w:val="16"/>
                      <w:szCs w:val="16"/>
                    </w:rPr>
                    <w:t>IMMOBEL - Rapport intermédiaire</w:t>
                  </w:r>
                </w:p>
              </w:tc>
            </w:sdtContent>
          </w:sdt>
        </w:tr>
      </w:tbl>
    </w:sdtContent>
  </w:sdt>
  <w:p w:rsidR="00A82955" w:rsidRPr="00442A33" w:rsidRDefault="00A82955" w:rsidP="00190EC4">
    <w:pPr>
      <w:pStyle w:val="Footer"/>
    </w:pPr>
  </w:p>
  <w:p w:rsidR="00A82955" w:rsidRDefault="00A829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2"/>
      <w:gridCol w:w="1100"/>
      <w:gridCol w:w="4172"/>
    </w:tblGrid>
    <w:tr w:rsidR="00A82955" w:rsidTr="00E0309E">
      <w:tc>
        <w:tcPr>
          <w:tcW w:w="1671" w:type="pct"/>
        </w:tcPr>
        <w:p w:rsidR="00A82955" w:rsidRPr="006B161F" w:rsidRDefault="00A82955" w:rsidP="00663E7A">
          <w:pPr>
            <w:pStyle w:val="Footer"/>
            <w:jc w:val="left"/>
            <w:rPr>
              <w:rFonts w:cstheme="minorHAnsi"/>
              <w:sz w:val="16"/>
              <w:szCs w:val="16"/>
            </w:rPr>
          </w:pPr>
        </w:p>
      </w:tc>
      <w:tc>
        <w:tcPr>
          <w:tcW w:w="450" w:type="pct"/>
        </w:tcPr>
        <w:p w:rsidR="00A82955" w:rsidRPr="006B161F" w:rsidRDefault="00A82955" w:rsidP="00663E7A">
          <w:pPr>
            <w:pStyle w:val="Footer"/>
            <w:jc w:val="center"/>
            <w:rPr>
              <w:rFonts w:cstheme="minorHAnsi"/>
              <w:sz w:val="16"/>
              <w:szCs w:val="16"/>
            </w:rPr>
          </w:pPr>
          <w:r w:rsidRPr="006B161F">
            <w:rPr>
              <w:rFonts w:cstheme="minorHAnsi"/>
              <w:sz w:val="16"/>
              <w:szCs w:val="16"/>
            </w:rPr>
            <w:fldChar w:fldCharType="begin"/>
          </w:r>
          <w:r w:rsidRPr="006B161F">
            <w:rPr>
              <w:rFonts w:cstheme="minorHAnsi"/>
              <w:sz w:val="16"/>
              <w:szCs w:val="16"/>
            </w:rPr>
            <w:instrText xml:space="preserve"> PAGE   \* MERGEFORMAT </w:instrText>
          </w:r>
          <w:r w:rsidRPr="006B161F">
            <w:rPr>
              <w:rFonts w:cstheme="minorHAnsi"/>
              <w:sz w:val="16"/>
              <w:szCs w:val="16"/>
            </w:rPr>
            <w:fldChar w:fldCharType="separate"/>
          </w:r>
          <w:r w:rsidR="00913C04">
            <w:rPr>
              <w:rFonts w:cstheme="minorHAnsi"/>
              <w:noProof/>
              <w:sz w:val="16"/>
              <w:szCs w:val="16"/>
            </w:rPr>
            <w:t>1</w:t>
          </w:r>
          <w:r w:rsidRPr="006B161F">
            <w:rPr>
              <w:rFonts w:cstheme="minorHAnsi"/>
              <w:noProof/>
              <w:sz w:val="16"/>
              <w:szCs w:val="16"/>
            </w:rPr>
            <w:fldChar w:fldCharType="end"/>
          </w:r>
          <w:r w:rsidRPr="006B161F">
            <w:rPr>
              <w:rFonts w:cstheme="minorHAnsi"/>
              <w:noProof/>
              <w:sz w:val="16"/>
              <w:szCs w:val="16"/>
            </w:rPr>
            <w:t xml:space="preserve"> / </w:t>
          </w:r>
          <w:r w:rsidRPr="006B161F">
            <w:rPr>
              <w:rFonts w:cstheme="minorHAnsi"/>
              <w:noProof/>
              <w:sz w:val="16"/>
              <w:szCs w:val="16"/>
            </w:rPr>
            <w:fldChar w:fldCharType="begin"/>
          </w:r>
          <w:r w:rsidRPr="006B161F">
            <w:rPr>
              <w:rFonts w:cstheme="minorHAnsi"/>
              <w:noProof/>
              <w:sz w:val="16"/>
              <w:szCs w:val="16"/>
            </w:rPr>
            <w:instrText xml:space="preserve"> NUMPAGES  \* Arabic  \* MERGEFORMAT </w:instrText>
          </w:r>
          <w:r w:rsidRPr="006B161F">
            <w:rPr>
              <w:rFonts w:cstheme="minorHAnsi"/>
              <w:noProof/>
              <w:sz w:val="16"/>
              <w:szCs w:val="16"/>
            </w:rPr>
            <w:fldChar w:fldCharType="separate"/>
          </w:r>
          <w:r w:rsidR="00913C04">
            <w:rPr>
              <w:rFonts w:cstheme="minorHAnsi"/>
              <w:noProof/>
              <w:sz w:val="16"/>
              <w:szCs w:val="16"/>
            </w:rPr>
            <w:t>43</w:t>
          </w:r>
          <w:r w:rsidRPr="006B161F">
            <w:rPr>
              <w:rFonts w:cstheme="minorHAnsi"/>
              <w:noProof/>
              <w:sz w:val="16"/>
              <w:szCs w:val="16"/>
            </w:rPr>
            <w:fldChar w:fldCharType="end"/>
          </w:r>
        </w:p>
      </w:tc>
      <w:tc>
        <w:tcPr>
          <w:tcW w:w="1708" w:type="pct"/>
        </w:tcPr>
        <w:p w:rsidR="00A82955" w:rsidRPr="006B161F" w:rsidRDefault="00913C04" w:rsidP="00663E7A">
          <w:pPr>
            <w:pStyle w:val="Footer"/>
            <w:tabs>
              <w:tab w:val="clear" w:pos="4513"/>
              <w:tab w:val="center" w:pos="3924"/>
            </w:tabs>
            <w:jc w:val="right"/>
            <w:rPr>
              <w:rFonts w:cstheme="minorHAnsi"/>
              <w:sz w:val="16"/>
              <w:szCs w:val="16"/>
            </w:rPr>
          </w:pPr>
          <w:sdt>
            <w:sdtPr>
              <w:rPr>
                <w:rFonts w:cstheme="minorHAnsi"/>
                <w:sz w:val="16"/>
                <w:szCs w:val="16"/>
              </w:rPr>
              <w:alias w:val="Title"/>
              <w:tag w:val=""/>
              <w:id w:val="-983468121"/>
              <w:dataBinding w:prefixMappings="xmlns:ns0='http://purl.org/dc/elements/1.1/' xmlns:ns1='http://schemas.openxmlformats.org/package/2006/metadata/core-properties' " w:xpath="/ns1:coreProperties[1]/ns0:title[1]" w:storeItemID="{6C3C8BC8-F283-45AE-878A-BAB7291924A1}"/>
              <w:text/>
            </w:sdtPr>
            <w:sdtEndPr/>
            <w:sdtContent>
              <w:r w:rsidR="00A82955">
                <w:rPr>
                  <w:rFonts w:cstheme="minorHAnsi"/>
                  <w:sz w:val="16"/>
                  <w:szCs w:val="16"/>
                </w:rPr>
                <w:t>IMMOBEL - Rapport intermédiaire</w:t>
              </w:r>
            </w:sdtContent>
          </w:sdt>
        </w:p>
      </w:tc>
    </w:tr>
  </w:tbl>
  <w:p w:rsidR="00A82955" w:rsidRDefault="00A82955">
    <w:pPr>
      <w:pStyle w:val="Footer"/>
    </w:pPr>
  </w:p>
  <w:p w:rsidR="00A82955" w:rsidRDefault="00A829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955" w:rsidRDefault="00A82955" w:rsidP="00E86EF6">
      <w:pPr>
        <w:spacing w:after="0"/>
      </w:pPr>
      <w:r>
        <w:separator/>
      </w:r>
    </w:p>
    <w:p w:rsidR="00A82955" w:rsidRDefault="00A82955"/>
  </w:footnote>
  <w:footnote w:type="continuationSeparator" w:id="0">
    <w:p w:rsidR="00A82955" w:rsidRDefault="00A82955" w:rsidP="00E86EF6">
      <w:pPr>
        <w:spacing w:after="0"/>
      </w:pPr>
      <w:r>
        <w:continuationSeparator/>
      </w:r>
    </w:p>
    <w:p w:rsidR="00A82955" w:rsidRDefault="00A829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955" w:rsidRPr="00857349" w:rsidRDefault="00A82955">
    <w:pPr>
      <w:pStyle w:val="Header"/>
      <w:rPr>
        <w:lang w:val="en-GB"/>
      </w:rPr>
    </w:pPr>
    <w:r>
      <w:rPr>
        <w:noProof/>
        <w:lang w:eastAsia="fr-BE"/>
      </w:rPr>
      <w:drawing>
        <wp:anchor distT="0" distB="0" distL="114300" distR="114300" simplePos="0" relativeHeight="251660288" behindDoc="1" locked="0" layoutInCell="1" allowOverlap="1">
          <wp:simplePos x="0" y="0"/>
          <wp:positionH relativeFrom="margin">
            <wp:align>center</wp:align>
          </wp:positionH>
          <wp:positionV relativeFrom="page">
            <wp:align>top</wp:align>
          </wp:positionV>
          <wp:extent cx="1080000" cy="1800000"/>
          <wp:effectExtent l="0" t="0" r="635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02-IMMOBEL_LETTER_A4_Header_suite.jpg"/>
                  <pic:cNvPicPr/>
                </pic:nvPicPr>
                <pic:blipFill>
                  <a:blip r:embed="rId1">
                    <a:extLst>
                      <a:ext uri="{28A0092B-C50C-407E-A947-70E740481C1C}">
                        <a14:useLocalDpi xmlns:a14="http://schemas.microsoft.com/office/drawing/2010/main" val="0"/>
                      </a:ext>
                    </a:extLst>
                  </a:blip>
                  <a:stretch>
                    <a:fillRect/>
                  </a:stretch>
                </pic:blipFill>
                <pic:spPr>
                  <a:xfrm>
                    <a:off x="0" y="0"/>
                    <a:ext cx="1080000" cy="1800000"/>
                  </a:xfrm>
                  <a:prstGeom prst="rect">
                    <a:avLst/>
                  </a:prstGeom>
                </pic:spPr>
              </pic:pic>
            </a:graphicData>
          </a:graphic>
          <wp14:sizeRelH relativeFrom="margin">
            <wp14:pctWidth>0</wp14:pctWidth>
          </wp14:sizeRelH>
          <wp14:sizeRelV relativeFrom="margin">
            <wp14:pctHeight>0</wp14:pctHeight>
          </wp14:sizeRelV>
        </wp:anchor>
      </w:drawing>
    </w:r>
  </w:p>
  <w:p w:rsidR="00A82955" w:rsidRDefault="00A8295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955" w:rsidRDefault="00A82955">
    <w:pPr>
      <w:pStyle w:val="Header"/>
    </w:pPr>
  </w:p>
  <w:p w:rsidR="00A82955" w:rsidRDefault="00A82955">
    <w:pPr>
      <w:pStyle w:val="Header"/>
    </w:pPr>
  </w:p>
  <w:p w:rsidR="00A82955" w:rsidRDefault="00A82955">
    <w:pPr>
      <w:pStyle w:val="Header"/>
    </w:pPr>
  </w:p>
  <w:p w:rsidR="00A82955" w:rsidRDefault="00A82955">
    <w:pPr>
      <w:pStyle w:val="Header"/>
    </w:pPr>
  </w:p>
  <w:p w:rsidR="00A82955" w:rsidRDefault="00A82955">
    <w:pPr>
      <w:pStyle w:val="Header"/>
    </w:pPr>
  </w:p>
  <w:p w:rsidR="00A82955" w:rsidRDefault="00A82955">
    <w:pPr>
      <w:pStyle w:val="Header"/>
    </w:pPr>
  </w:p>
  <w:p w:rsidR="00A82955" w:rsidRDefault="00A82955">
    <w:pPr>
      <w:pStyle w:val="Header"/>
    </w:pPr>
  </w:p>
  <w:p w:rsidR="00A82955" w:rsidRDefault="00A82955">
    <w:pPr>
      <w:pStyle w:val="Header"/>
    </w:pPr>
    <w:r>
      <w:rPr>
        <w:noProof/>
        <w:lang w:eastAsia="fr-BE"/>
      </w:rPr>
      <w:drawing>
        <wp:anchor distT="0" distB="0" distL="114300" distR="114300" simplePos="0" relativeHeight="251659264" behindDoc="1" locked="0" layoutInCell="1" allowOverlap="1">
          <wp:simplePos x="0" y="0"/>
          <wp:positionH relativeFrom="margin">
            <wp:align>center</wp:align>
          </wp:positionH>
          <wp:positionV relativeFrom="page">
            <wp:align>top</wp:align>
          </wp:positionV>
          <wp:extent cx="1080000" cy="1800000"/>
          <wp:effectExtent l="0" t="0" r="635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02-IMMOBEL_LETTER_A4_Header.jpg"/>
                  <pic:cNvPicPr/>
                </pic:nvPicPr>
                <pic:blipFill>
                  <a:blip r:embed="rId1">
                    <a:extLst>
                      <a:ext uri="{28A0092B-C50C-407E-A947-70E740481C1C}">
                        <a14:useLocalDpi xmlns:a14="http://schemas.microsoft.com/office/drawing/2010/main" val="0"/>
                      </a:ext>
                    </a:extLst>
                  </a:blip>
                  <a:stretch>
                    <a:fillRect/>
                  </a:stretch>
                </pic:blipFill>
                <pic:spPr>
                  <a:xfrm>
                    <a:off x="0" y="0"/>
                    <a:ext cx="1080000" cy="1800000"/>
                  </a:xfrm>
                  <a:prstGeom prst="rect">
                    <a:avLst/>
                  </a:prstGeom>
                </pic:spPr>
              </pic:pic>
            </a:graphicData>
          </a:graphic>
          <wp14:sizeRelH relativeFrom="margin">
            <wp14:pctWidth>0</wp14:pctWidth>
          </wp14:sizeRelH>
          <wp14:sizeRelV relativeFrom="margin">
            <wp14:pctHeight>0</wp14:pctHeight>
          </wp14:sizeRelV>
        </wp:anchor>
      </w:drawing>
    </w:r>
  </w:p>
  <w:p w:rsidR="00A82955" w:rsidRDefault="00A82955"/>
  <w:p w:rsidR="00A82955" w:rsidRDefault="00A829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2242"/>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A62103D"/>
    <w:multiLevelType w:val="multilevel"/>
    <w:tmpl w:val="001CAD9A"/>
    <w:lvl w:ilvl="0">
      <w:start w:val="1"/>
      <w:numFmt w:val="decimal"/>
      <w:pStyle w:val="Heading1"/>
      <w:lvlText w:val="%1."/>
      <w:lvlJc w:val="left"/>
      <w:pPr>
        <w:ind w:left="357" w:hanging="357"/>
      </w:pPr>
      <w:rPr>
        <w:rFonts w:hint="default"/>
      </w:rPr>
    </w:lvl>
    <w:lvl w:ilvl="1">
      <w:start w:val="1"/>
      <w:numFmt w:val="lowerLetter"/>
      <w:pStyle w:val="Heading2"/>
      <w:lvlText w:val="%1.%2."/>
      <w:lvlJc w:val="left"/>
      <w:pPr>
        <w:ind w:left="357" w:hanging="357"/>
      </w:pPr>
      <w:rPr>
        <w:rFonts w:hint="default"/>
        <w:b w:val="0"/>
        <w:sz w:val="24"/>
        <w:szCs w:val="24"/>
      </w:rPr>
    </w:lvl>
    <w:lvl w:ilvl="2">
      <w:start w:val="1"/>
      <w:numFmt w:val="none"/>
      <w:pStyle w:val="Heading4"/>
      <w:lvlText w:val="%3"/>
      <w:lvlJc w:val="left"/>
      <w:pPr>
        <w:ind w:left="0" w:firstLine="0"/>
      </w:pPr>
      <w:rPr>
        <w:rFonts w:hint="default"/>
      </w:rPr>
    </w:lvl>
    <w:lvl w:ilvl="3">
      <w:start w:val="1"/>
      <w:numFmt w:val="none"/>
      <w:lvlText w:val=""/>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 w15:restartNumberingAfterBreak="0">
    <w:nsid w:val="0EE213F1"/>
    <w:multiLevelType w:val="hybridMultilevel"/>
    <w:tmpl w:val="8346B4E0"/>
    <w:lvl w:ilvl="0" w:tplc="D63069F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EFB58BA"/>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5572841"/>
    <w:multiLevelType w:val="hybridMultilevel"/>
    <w:tmpl w:val="1592D53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15D0549"/>
    <w:multiLevelType w:val="multilevel"/>
    <w:tmpl w:val="785E4ACE"/>
    <w:lvl w:ilvl="0">
      <w:start w:val="1"/>
      <w:numFmt w:val="bullet"/>
      <w:pStyle w:val="ListParagraph"/>
      <w:lvlText w:val=""/>
      <w:lvlJc w:val="left"/>
      <w:pPr>
        <w:ind w:left="357" w:hanging="357"/>
      </w:pPr>
      <w:rPr>
        <w:rFonts w:ascii="Symbol" w:hAnsi="Symbol" w:hint="default"/>
      </w:rPr>
    </w:lvl>
    <w:lvl w:ilvl="1">
      <w:start w:val="1"/>
      <w:numFmt w:val="bullet"/>
      <w:lvlText w:val=""/>
      <w:lvlJc w:val="left"/>
      <w:pPr>
        <w:ind w:left="714" w:hanging="357"/>
      </w:pPr>
      <w:rPr>
        <w:rFonts w:ascii="Wingdings" w:hAnsi="Wingdings"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
      <w:lvlJc w:val="left"/>
      <w:pPr>
        <w:ind w:left="1785" w:hanging="357"/>
      </w:pPr>
      <w:rPr>
        <w:rFonts w:ascii="Symbol" w:hAnsi="Symbol"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Wingdings" w:hAnsi="Wingdings" w:hint="default"/>
      </w:rPr>
    </w:lvl>
    <w:lvl w:ilvl="7">
      <w:start w:val="1"/>
      <w:numFmt w:val="bullet"/>
      <w:lvlText w:val=""/>
      <w:lvlJc w:val="left"/>
      <w:pPr>
        <w:ind w:left="2856" w:hanging="357"/>
      </w:pPr>
      <w:rPr>
        <w:rFonts w:ascii="Symbol" w:hAnsi="Symbol" w:hint="default"/>
      </w:rPr>
    </w:lvl>
    <w:lvl w:ilvl="8">
      <w:start w:val="1"/>
      <w:numFmt w:val="bullet"/>
      <w:lvlText w:val=""/>
      <w:lvlJc w:val="left"/>
      <w:pPr>
        <w:ind w:left="3213" w:hanging="357"/>
      </w:pPr>
      <w:rPr>
        <w:rFonts w:ascii="Symbol" w:hAnsi="Symbol" w:hint="default"/>
      </w:rPr>
    </w:lvl>
  </w:abstractNum>
  <w:abstractNum w:abstractNumId="6" w15:restartNumberingAfterBreak="0">
    <w:nsid w:val="41325EAF"/>
    <w:multiLevelType w:val="hybridMultilevel"/>
    <w:tmpl w:val="DBF01792"/>
    <w:lvl w:ilvl="0" w:tplc="0809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A4F034D"/>
    <w:multiLevelType w:val="hybridMultilevel"/>
    <w:tmpl w:val="B27CD59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F5A73A8"/>
    <w:multiLevelType w:val="hybridMultilevel"/>
    <w:tmpl w:val="84681D02"/>
    <w:lvl w:ilvl="0" w:tplc="322870C4">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D031955"/>
    <w:multiLevelType w:val="hybridMultilevel"/>
    <w:tmpl w:val="EF94C75C"/>
    <w:lvl w:ilvl="0" w:tplc="0809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31A3540"/>
    <w:multiLevelType w:val="hybridMultilevel"/>
    <w:tmpl w:val="0F7C7C26"/>
    <w:lvl w:ilvl="0" w:tplc="D63069F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51A74E0"/>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7C711A2"/>
    <w:multiLevelType w:val="hybridMultilevel"/>
    <w:tmpl w:val="3BEAE5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9313DAA"/>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53B2F0E"/>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2"/>
  </w:num>
  <w:num w:numId="2">
    <w:abstractNumId w:val="14"/>
  </w:num>
  <w:num w:numId="3">
    <w:abstractNumId w:val="7"/>
  </w:num>
  <w:num w:numId="4">
    <w:abstractNumId w:val="0"/>
  </w:num>
  <w:num w:numId="5">
    <w:abstractNumId w:val="3"/>
  </w:num>
  <w:num w:numId="6">
    <w:abstractNumId w:val="5"/>
  </w:num>
  <w:num w:numId="7">
    <w:abstractNumId w:val="4"/>
  </w:num>
  <w:num w:numId="8">
    <w:abstractNumId w:val="8"/>
  </w:num>
  <w:num w:numId="9">
    <w:abstractNumId w:val="13"/>
  </w:num>
  <w:num w:numId="10">
    <w:abstractNumId w:val="11"/>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formatting="1" w:enforcement="0"/>
  <w:defaultTabStop w:val="720"/>
  <w:hyphenationZone w:val="425"/>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F6"/>
    <w:rsid w:val="000073B7"/>
    <w:rsid w:val="000108EA"/>
    <w:rsid w:val="000168DA"/>
    <w:rsid w:val="00022677"/>
    <w:rsid w:val="00027A37"/>
    <w:rsid w:val="00035B98"/>
    <w:rsid w:val="00052CEC"/>
    <w:rsid w:val="00057443"/>
    <w:rsid w:val="00074A4F"/>
    <w:rsid w:val="00076F3C"/>
    <w:rsid w:val="00082D94"/>
    <w:rsid w:val="0009479F"/>
    <w:rsid w:val="00094F03"/>
    <w:rsid w:val="000A0116"/>
    <w:rsid w:val="000A0359"/>
    <w:rsid w:val="000A44CF"/>
    <w:rsid w:val="000B649B"/>
    <w:rsid w:val="000D19A5"/>
    <w:rsid w:val="000D317D"/>
    <w:rsid w:val="000F081A"/>
    <w:rsid w:val="001056D9"/>
    <w:rsid w:val="0011042A"/>
    <w:rsid w:val="00111CFE"/>
    <w:rsid w:val="001142D5"/>
    <w:rsid w:val="001174C9"/>
    <w:rsid w:val="00120F36"/>
    <w:rsid w:val="00135CBF"/>
    <w:rsid w:val="0013794C"/>
    <w:rsid w:val="00140F3D"/>
    <w:rsid w:val="00150929"/>
    <w:rsid w:val="00156368"/>
    <w:rsid w:val="00162F06"/>
    <w:rsid w:val="00172864"/>
    <w:rsid w:val="0017572C"/>
    <w:rsid w:val="0017653F"/>
    <w:rsid w:val="001836B4"/>
    <w:rsid w:val="00190EC4"/>
    <w:rsid w:val="0019410B"/>
    <w:rsid w:val="0019498B"/>
    <w:rsid w:val="0019703E"/>
    <w:rsid w:val="00197CD3"/>
    <w:rsid w:val="001E272C"/>
    <w:rsid w:val="001E3319"/>
    <w:rsid w:val="001E639F"/>
    <w:rsid w:val="001F0A58"/>
    <w:rsid w:val="001F4672"/>
    <w:rsid w:val="001F476F"/>
    <w:rsid w:val="00226104"/>
    <w:rsid w:val="0022627D"/>
    <w:rsid w:val="002361BE"/>
    <w:rsid w:val="00236F00"/>
    <w:rsid w:val="002426E9"/>
    <w:rsid w:val="002463D3"/>
    <w:rsid w:val="00246EB1"/>
    <w:rsid w:val="00256F90"/>
    <w:rsid w:val="00263A40"/>
    <w:rsid w:val="00292B09"/>
    <w:rsid w:val="002946B1"/>
    <w:rsid w:val="00294DDC"/>
    <w:rsid w:val="00295AFA"/>
    <w:rsid w:val="002B2AF5"/>
    <w:rsid w:val="002B6ACA"/>
    <w:rsid w:val="002C702F"/>
    <w:rsid w:val="002D46F3"/>
    <w:rsid w:val="002D7DDF"/>
    <w:rsid w:val="002E01D1"/>
    <w:rsid w:val="002E07C0"/>
    <w:rsid w:val="002F2ACA"/>
    <w:rsid w:val="002F2C5B"/>
    <w:rsid w:val="002F7195"/>
    <w:rsid w:val="003014A2"/>
    <w:rsid w:val="003116D5"/>
    <w:rsid w:val="00311E1B"/>
    <w:rsid w:val="0033074F"/>
    <w:rsid w:val="00333EAE"/>
    <w:rsid w:val="00344154"/>
    <w:rsid w:val="00344A8B"/>
    <w:rsid w:val="00351C19"/>
    <w:rsid w:val="00370679"/>
    <w:rsid w:val="00372A02"/>
    <w:rsid w:val="00374F03"/>
    <w:rsid w:val="003945CD"/>
    <w:rsid w:val="003A6714"/>
    <w:rsid w:val="003A6BD0"/>
    <w:rsid w:val="003B7A19"/>
    <w:rsid w:val="003C4D75"/>
    <w:rsid w:val="003C6D00"/>
    <w:rsid w:val="003C768C"/>
    <w:rsid w:val="0040028C"/>
    <w:rsid w:val="00400C17"/>
    <w:rsid w:val="0040556D"/>
    <w:rsid w:val="00410A0D"/>
    <w:rsid w:val="00411948"/>
    <w:rsid w:val="00412AEB"/>
    <w:rsid w:val="0041565C"/>
    <w:rsid w:val="00430406"/>
    <w:rsid w:val="00433360"/>
    <w:rsid w:val="00442A33"/>
    <w:rsid w:val="00464B04"/>
    <w:rsid w:val="0046738A"/>
    <w:rsid w:val="00485E34"/>
    <w:rsid w:val="004A0518"/>
    <w:rsid w:val="004A2E7F"/>
    <w:rsid w:val="004B2655"/>
    <w:rsid w:val="004B7411"/>
    <w:rsid w:val="004C1633"/>
    <w:rsid w:val="004E45CD"/>
    <w:rsid w:val="004F0E81"/>
    <w:rsid w:val="00506D5C"/>
    <w:rsid w:val="00512CEC"/>
    <w:rsid w:val="00531370"/>
    <w:rsid w:val="005362FA"/>
    <w:rsid w:val="00537356"/>
    <w:rsid w:val="005541CE"/>
    <w:rsid w:val="00561E44"/>
    <w:rsid w:val="00564FB9"/>
    <w:rsid w:val="00565F56"/>
    <w:rsid w:val="005669BB"/>
    <w:rsid w:val="00573057"/>
    <w:rsid w:val="005741E0"/>
    <w:rsid w:val="00580934"/>
    <w:rsid w:val="005877F0"/>
    <w:rsid w:val="0059090D"/>
    <w:rsid w:val="00596B87"/>
    <w:rsid w:val="005B060E"/>
    <w:rsid w:val="005B2906"/>
    <w:rsid w:val="005B5479"/>
    <w:rsid w:val="005D1307"/>
    <w:rsid w:val="005D1E8E"/>
    <w:rsid w:val="005D33F0"/>
    <w:rsid w:val="005D6B56"/>
    <w:rsid w:val="005E19CF"/>
    <w:rsid w:val="005E2F83"/>
    <w:rsid w:val="005F0EF3"/>
    <w:rsid w:val="00610531"/>
    <w:rsid w:val="00631812"/>
    <w:rsid w:val="00636008"/>
    <w:rsid w:val="0063609A"/>
    <w:rsid w:val="006425F1"/>
    <w:rsid w:val="006470AA"/>
    <w:rsid w:val="00662E76"/>
    <w:rsid w:val="00663E7A"/>
    <w:rsid w:val="0066732A"/>
    <w:rsid w:val="0067659C"/>
    <w:rsid w:val="006A19CF"/>
    <w:rsid w:val="006A311C"/>
    <w:rsid w:val="006B161F"/>
    <w:rsid w:val="006B5B69"/>
    <w:rsid w:val="006C04DC"/>
    <w:rsid w:val="006D0E06"/>
    <w:rsid w:val="006D16A1"/>
    <w:rsid w:val="006E3515"/>
    <w:rsid w:val="006F3977"/>
    <w:rsid w:val="006F3AFB"/>
    <w:rsid w:val="006F508E"/>
    <w:rsid w:val="006F603E"/>
    <w:rsid w:val="006F607E"/>
    <w:rsid w:val="0070575D"/>
    <w:rsid w:val="0071014F"/>
    <w:rsid w:val="00712858"/>
    <w:rsid w:val="00732824"/>
    <w:rsid w:val="00747913"/>
    <w:rsid w:val="00755895"/>
    <w:rsid w:val="00760895"/>
    <w:rsid w:val="0076109A"/>
    <w:rsid w:val="00764ADB"/>
    <w:rsid w:val="007667FF"/>
    <w:rsid w:val="00771FB1"/>
    <w:rsid w:val="00784F24"/>
    <w:rsid w:val="00786024"/>
    <w:rsid w:val="00790CBB"/>
    <w:rsid w:val="007A3F27"/>
    <w:rsid w:val="007C2125"/>
    <w:rsid w:val="007C6562"/>
    <w:rsid w:val="007C6C55"/>
    <w:rsid w:val="007D177A"/>
    <w:rsid w:val="007D1C0A"/>
    <w:rsid w:val="007F4E4A"/>
    <w:rsid w:val="007F5F46"/>
    <w:rsid w:val="00807444"/>
    <w:rsid w:val="00834C30"/>
    <w:rsid w:val="00841A2B"/>
    <w:rsid w:val="00842240"/>
    <w:rsid w:val="00857349"/>
    <w:rsid w:val="008760E8"/>
    <w:rsid w:val="00893377"/>
    <w:rsid w:val="008A2F38"/>
    <w:rsid w:val="008A536B"/>
    <w:rsid w:val="008A5F12"/>
    <w:rsid w:val="008B3ED7"/>
    <w:rsid w:val="008C30D5"/>
    <w:rsid w:val="008D39B1"/>
    <w:rsid w:val="008D7163"/>
    <w:rsid w:val="008E0B94"/>
    <w:rsid w:val="008E36C9"/>
    <w:rsid w:val="008E434B"/>
    <w:rsid w:val="008E4BDF"/>
    <w:rsid w:val="008F61C9"/>
    <w:rsid w:val="008F6611"/>
    <w:rsid w:val="00902FC0"/>
    <w:rsid w:val="00910907"/>
    <w:rsid w:val="00913C04"/>
    <w:rsid w:val="00921864"/>
    <w:rsid w:val="00922219"/>
    <w:rsid w:val="00926AD8"/>
    <w:rsid w:val="0093007F"/>
    <w:rsid w:val="009354EA"/>
    <w:rsid w:val="0095342A"/>
    <w:rsid w:val="00953DB0"/>
    <w:rsid w:val="009617D6"/>
    <w:rsid w:val="00966D93"/>
    <w:rsid w:val="00967AB5"/>
    <w:rsid w:val="00967EA1"/>
    <w:rsid w:val="00973366"/>
    <w:rsid w:val="00977F55"/>
    <w:rsid w:val="00981510"/>
    <w:rsid w:val="0098578B"/>
    <w:rsid w:val="009877EE"/>
    <w:rsid w:val="009A4E61"/>
    <w:rsid w:val="009C7FB6"/>
    <w:rsid w:val="009D05F1"/>
    <w:rsid w:val="009D192F"/>
    <w:rsid w:val="009D7D9B"/>
    <w:rsid w:val="009E03C6"/>
    <w:rsid w:val="009E5257"/>
    <w:rsid w:val="009F3F41"/>
    <w:rsid w:val="00A021ED"/>
    <w:rsid w:val="00A04BF5"/>
    <w:rsid w:val="00A11D91"/>
    <w:rsid w:val="00A16982"/>
    <w:rsid w:val="00A27CFD"/>
    <w:rsid w:val="00A32B97"/>
    <w:rsid w:val="00A3788A"/>
    <w:rsid w:val="00A41CF5"/>
    <w:rsid w:val="00A51BEE"/>
    <w:rsid w:val="00A60BE5"/>
    <w:rsid w:val="00A66CBA"/>
    <w:rsid w:val="00A8035F"/>
    <w:rsid w:val="00A82955"/>
    <w:rsid w:val="00A8403A"/>
    <w:rsid w:val="00A92F2B"/>
    <w:rsid w:val="00AA4EE7"/>
    <w:rsid w:val="00AC16D6"/>
    <w:rsid w:val="00AC4075"/>
    <w:rsid w:val="00AD2C5E"/>
    <w:rsid w:val="00AD4C6B"/>
    <w:rsid w:val="00AF4567"/>
    <w:rsid w:val="00B134BE"/>
    <w:rsid w:val="00B246C1"/>
    <w:rsid w:val="00B32219"/>
    <w:rsid w:val="00B42FA7"/>
    <w:rsid w:val="00B67BBD"/>
    <w:rsid w:val="00B700C5"/>
    <w:rsid w:val="00B940B1"/>
    <w:rsid w:val="00BA1303"/>
    <w:rsid w:val="00BA4509"/>
    <w:rsid w:val="00BC0972"/>
    <w:rsid w:val="00BC3B1E"/>
    <w:rsid w:val="00BD4BC2"/>
    <w:rsid w:val="00BD5228"/>
    <w:rsid w:val="00BF0CA2"/>
    <w:rsid w:val="00C04704"/>
    <w:rsid w:val="00C07EA5"/>
    <w:rsid w:val="00C31D7F"/>
    <w:rsid w:val="00C46834"/>
    <w:rsid w:val="00C5607B"/>
    <w:rsid w:val="00C663EC"/>
    <w:rsid w:val="00C81B17"/>
    <w:rsid w:val="00C90C54"/>
    <w:rsid w:val="00C95877"/>
    <w:rsid w:val="00C95AAD"/>
    <w:rsid w:val="00CA2A76"/>
    <w:rsid w:val="00CA5B61"/>
    <w:rsid w:val="00CA5ECB"/>
    <w:rsid w:val="00CB4555"/>
    <w:rsid w:val="00CB7EA3"/>
    <w:rsid w:val="00CC1188"/>
    <w:rsid w:val="00CC440C"/>
    <w:rsid w:val="00CC5CE0"/>
    <w:rsid w:val="00CC6CB9"/>
    <w:rsid w:val="00CD2615"/>
    <w:rsid w:val="00CD4BCF"/>
    <w:rsid w:val="00CD5044"/>
    <w:rsid w:val="00CE4728"/>
    <w:rsid w:val="00CE626C"/>
    <w:rsid w:val="00CF5E9C"/>
    <w:rsid w:val="00D17777"/>
    <w:rsid w:val="00D267C3"/>
    <w:rsid w:val="00D42308"/>
    <w:rsid w:val="00D438C2"/>
    <w:rsid w:val="00D43B20"/>
    <w:rsid w:val="00D4452C"/>
    <w:rsid w:val="00D448C1"/>
    <w:rsid w:val="00D51F68"/>
    <w:rsid w:val="00D5336C"/>
    <w:rsid w:val="00D620B8"/>
    <w:rsid w:val="00D64798"/>
    <w:rsid w:val="00D66E81"/>
    <w:rsid w:val="00D8053C"/>
    <w:rsid w:val="00D954D2"/>
    <w:rsid w:val="00DA739C"/>
    <w:rsid w:val="00DB3110"/>
    <w:rsid w:val="00DC7EDE"/>
    <w:rsid w:val="00DD690A"/>
    <w:rsid w:val="00DE2431"/>
    <w:rsid w:val="00DF3BC6"/>
    <w:rsid w:val="00DF5D43"/>
    <w:rsid w:val="00E016B8"/>
    <w:rsid w:val="00E0309E"/>
    <w:rsid w:val="00E032D9"/>
    <w:rsid w:val="00E05DCC"/>
    <w:rsid w:val="00E13114"/>
    <w:rsid w:val="00E25307"/>
    <w:rsid w:val="00E26DE0"/>
    <w:rsid w:val="00E3473C"/>
    <w:rsid w:val="00E34D6D"/>
    <w:rsid w:val="00E3570E"/>
    <w:rsid w:val="00E43438"/>
    <w:rsid w:val="00E4438D"/>
    <w:rsid w:val="00E4461B"/>
    <w:rsid w:val="00E52BBE"/>
    <w:rsid w:val="00E6046D"/>
    <w:rsid w:val="00E60F58"/>
    <w:rsid w:val="00E7130E"/>
    <w:rsid w:val="00E748E1"/>
    <w:rsid w:val="00E75EF3"/>
    <w:rsid w:val="00E8049B"/>
    <w:rsid w:val="00E80A00"/>
    <w:rsid w:val="00E81281"/>
    <w:rsid w:val="00E86E7C"/>
    <w:rsid w:val="00E86EF6"/>
    <w:rsid w:val="00E9551F"/>
    <w:rsid w:val="00E95C2B"/>
    <w:rsid w:val="00E97AD3"/>
    <w:rsid w:val="00EA30F2"/>
    <w:rsid w:val="00EB1B88"/>
    <w:rsid w:val="00EB74DA"/>
    <w:rsid w:val="00ED246B"/>
    <w:rsid w:val="00ED709C"/>
    <w:rsid w:val="00EE4E60"/>
    <w:rsid w:val="00EE61A5"/>
    <w:rsid w:val="00EF0D9F"/>
    <w:rsid w:val="00EF4410"/>
    <w:rsid w:val="00EF470B"/>
    <w:rsid w:val="00F03EAE"/>
    <w:rsid w:val="00F10828"/>
    <w:rsid w:val="00F1206E"/>
    <w:rsid w:val="00F35DE8"/>
    <w:rsid w:val="00F376B8"/>
    <w:rsid w:val="00F406A3"/>
    <w:rsid w:val="00F46B25"/>
    <w:rsid w:val="00F60D5D"/>
    <w:rsid w:val="00F62B19"/>
    <w:rsid w:val="00F64B24"/>
    <w:rsid w:val="00F77C17"/>
    <w:rsid w:val="00F96A9A"/>
    <w:rsid w:val="00FA3645"/>
    <w:rsid w:val="00FA7CE9"/>
    <w:rsid w:val="00FB1D46"/>
    <w:rsid w:val="00FB7A96"/>
    <w:rsid w:val="00FC0E6F"/>
    <w:rsid w:val="00FD2BAF"/>
    <w:rsid w:val="00FE32DA"/>
    <w:rsid w:val="00FE5D19"/>
    <w:rsid w:val="00FE6BC8"/>
    <w:rsid w:val="00FE7D00"/>
    <w:rsid w:val="00FF2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1A040CCF"/>
  <w15:docId w15:val="{4CA4C6BB-AD3D-4710-8CD9-03406E12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E4A"/>
    <w:pPr>
      <w:spacing w:after="200"/>
      <w:jc w:val="both"/>
    </w:pPr>
    <w:rPr>
      <w:color w:val="626261"/>
      <w:lang w:val="fr-BE"/>
    </w:rPr>
  </w:style>
  <w:style w:type="paragraph" w:styleId="Heading1">
    <w:name w:val="heading 1"/>
    <w:basedOn w:val="Normal"/>
    <w:next w:val="Normal"/>
    <w:link w:val="Heading1Char"/>
    <w:uiPriority w:val="9"/>
    <w:qFormat/>
    <w:rsid w:val="00CD2615"/>
    <w:pPr>
      <w:keepNext/>
      <w:keepLines/>
      <w:numPr>
        <w:numId w:val="11"/>
      </w:numPr>
      <w:outlineLvl w:val="0"/>
    </w:pPr>
    <w:rPr>
      <w:rFonts w:asciiTheme="majorHAnsi" w:eastAsiaTheme="majorEastAsia" w:hAnsiTheme="majorHAnsi" w:cstheme="majorBidi"/>
      <w:caps/>
      <w:color w:val="303874"/>
      <w:sz w:val="32"/>
      <w:szCs w:val="32"/>
    </w:rPr>
  </w:style>
  <w:style w:type="paragraph" w:styleId="Heading2">
    <w:name w:val="heading 2"/>
    <w:basedOn w:val="Normal"/>
    <w:next w:val="Normal"/>
    <w:link w:val="Heading2Char"/>
    <w:uiPriority w:val="9"/>
    <w:unhideWhenUsed/>
    <w:qFormat/>
    <w:rsid w:val="00CD2615"/>
    <w:pPr>
      <w:keepNext/>
      <w:keepLines/>
      <w:numPr>
        <w:ilvl w:val="1"/>
        <w:numId w:val="11"/>
      </w:numPr>
      <w:outlineLvl w:val="1"/>
    </w:pPr>
    <w:rPr>
      <w:rFonts w:asciiTheme="majorHAnsi" w:eastAsiaTheme="majorEastAsia" w:hAnsiTheme="majorHAnsi" w:cstheme="majorBidi"/>
      <w:color w:val="303874"/>
      <w:sz w:val="26"/>
      <w:szCs w:val="26"/>
    </w:rPr>
  </w:style>
  <w:style w:type="paragraph" w:styleId="Heading3">
    <w:name w:val="heading 3"/>
    <w:basedOn w:val="Normal"/>
    <w:next w:val="Normal"/>
    <w:link w:val="Heading3Char"/>
    <w:uiPriority w:val="9"/>
    <w:unhideWhenUsed/>
    <w:qFormat/>
    <w:rsid w:val="00CD2615"/>
    <w:pPr>
      <w:keepNext/>
      <w:keepLines/>
      <w:outlineLvl w:val="2"/>
    </w:pPr>
    <w:rPr>
      <w:rFonts w:asciiTheme="majorHAnsi" w:eastAsiaTheme="majorEastAsia" w:hAnsiTheme="majorHAnsi" w:cstheme="majorBidi"/>
      <w:b/>
      <w:color w:val="2E3A74"/>
      <w:sz w:val="24"/>
      <w:szCs w:val="24"/>
    </w:rPr>
  </w:style>
  <w:style w:type="paragraph" w:styleId="Heading4">
    <w:name w:val="heading 4"/>
    <w:basedOn w:val="Normal"/>
    <w:next w:val="Normal"/>
    <w:link w:val="Heading4Char"/>
    <w:uiPriority w:val="9"/>
    <w:unhideWhenUsed/>
    <w:qFormat/>
    <w:rsid w:val="00CD2615"/>
    <w:pPr>
      <w:keepNext/>
      <w:keepLines/>
      <w:numPr>
        <w:ilvl w:val="2"/>
        <w:numId w:val="11"/>
      </w:numPr>
      <w:outlineLvl w:val="3"/>
    </w:pPr>
    <w:rPr>
      <w:rFonts w:asciiTheme="majorHAnsi" w:eastAsiaTheme="majorEastAsia" w:hAnsiTheme="majorHAnsi" w:cstheme="majorBidi"/>
      <w:i/>
      <w:iCs/>
      <w:color w:val="303874"/>
    </w:rPr>
  </w:style>
  <w:style w:type="paragraph" w:styleId="Heading5">
    <w:name w:val="heading 5"/>
    <w:basedOn w:val="Normal"/>
    <w:next w:val="Normal"/>
    <w:link w:val="Heading5Char"/>
    <w:uiPriority w:val="9"/>
    <w:unhideWhenUsed/>
    <w:qFormat/>
    <w:rsid w:val="003A6BD0"/>
    <w:pPr>
      <w:keepNext/>
      <w:keepLines/>
      <w:spacing w:before="40" w:after="0"/>
      <w:outlineLvl w:val="4"/>
    </w:pPr>
    <w:rPr>
      <w:rFonts w:asciiTheme="majorHAnsi" w:eastAsiaTheme="majorEastAsia" w:hAnsiTheme="majorHAnsi" w:cstheme="majorBidi"/>
      <w:color w:val="303874"/>
    </w:rPr>
  </w:style>
  <w:style w:type="paragraph" w:styleId="Heading6">
    <w:name w:val="heading 6"/>
    <w:basedOn w:val="Normal"/>
    <w:next w:val="Normal"/>
    <w:link w:val="Heading6Char"/>
    <w:uiPriority w:val="9"/>
    <w:unhideWhenUsed/>
    <w:rsid w:val="00DF5D43"/>
    <w:pPr>
      <w:keepNext/>
      <w:keepLines/>
      <w:spacing w:before="40" w:after="0"/>
      <w:outlineLvl w:val="5"/>
    </w:pPr>
    <w:rPr>
      <w:rFonts w:asciiTheme="majorHAnsi" w:eastAsiaTheme="majorEastAsia" w:hAnsiTheme="majorHAnsi" w:cstheme="majorBidi"/>
      <w:color w:val="171C39" w:themeColor="accent1" w:themeShade="7F"/>
    </w:rPr>
  </w:style>
  <w:style w:type="paragraph" w:styleId="Heading7">
    <w:name w:val="heading 7"/>
    <w:basedOn w:val="Normal"/>
    <w:next w:val="Normal"/>
    <w:link w:val="Heading7Char"/>
    <w:uiPriority w:val="9"/>
    <w:unhideWhenUsed/>
    <w:rsid w:val="00135CBF"/>
    <w:pPr>
      <w:keepNext/>
      <w:keepLines/>
      <w:spacing w:before="40" w:after="0"/>
      <w:outlineLvl w:val="6"/>
    </w:pPr>
    <w:rPr>
      <w:rFonts w:asciiTheme="majorHAnsi" w:eastAsiaTheme="majorEastAsia" w:hAnsiTheme="majorHAnsi" w:cstheme="majorBidi"/>
      <w:i/>
      <w:iCs/>
      <w:color w:val="171C39" w:themeColor="accent1" w:themeShade="7F"/>
    </w:rPr>
  </w:style>
  <w:style w:type="paragraph" w:styleId="Heading8">
    <w:name w:val="heading 8"/>
    <w:basedOn w:val="Normal"/>
    <w:next w:val="Normal"/>
    <w:link w:val="Heading8Char"/>
    <w:uiPriority w:val="9"/>
    <w:unhideWhenUsed/>
    <w:qFormat/>
    <w:rsid w:val="00CD4BC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EF6"/>
    <w:pPr>
      <w:tabs>
        <w:tab w:val="center" w:pos="4513"/>
        <w:tab w:val="right" w:pos="9026"/>
      </w:tabs>
      <w:spacing w:after="0"/>
    </w:pPr>
  </w:style>
  <w:style w:type="character" w:customStyle="1" w:styleId="HeaderChar">
    <w:name w:val="Header Char"/>
    <w:basedOn w:val="DefaultParagraphFont"/>
    <w:link w:val="Header"/>
    <w:uiPriority w:val="99"/>
    <w:rsid w:val="00E86EF6"/>
    <w:rPr>
      <w:lang w:val="fr-BE"/>
    </w:rPr>
  </w:style>
  <w:style w:type="paragraph" w:styleId="Footer">
    <w:name w:val="footer"/>
    <w:basedOn w:val="Normal"/>
    <w:link w:val="FooterChar"/>
    <w:uiPriority w:val="99"/>
    <w:unhideWhenUsed/>
    <w:rsid w:val="00E86EF6"/>
    <w:pPr>
      <w:tabs>
        <w:tab w:val="center" w:pos="4513"/>
        <w:tab w:val="right" w:pos="9026"/>
      </w:tabs>
      <w:spacing w:after="0"/>
    </w:pPr>
  </w:style>
  <w:style w:type="character" w:customStyle="1" w:styleId="FooterChar">
    <w:name w:val="Footer Char"/>
    <w:basedOn w:val="DefaultParagraphFont"/>
    <w:link w:val="Footer"/>
    <w:uiPriority w:val="99"/>
    <w:rsid w:val="00E86EF6"/>
    <w:rPr>
      <w:lang w:val="fr-BE"/>
    </w:rPr>
  </w:style>
  <w:style w:type="paragraph" w:styleId="BalloonText">
    <w:name w:val="Balloon Text"/>
    <w:basedOn w:val="Normal"/>
    <w:link w:val="BalloonTextChar"/>
    <w:uiPriority w:val="99"/>
    <w:semiHidden/>
    <w:unhideWhenUsed/>
    <w:rsid w:val="00295AF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AFA"/>
    <w:rPr>
      <w:rFonts w:ascii="Segoe UI" w:hAnsi="Segoe UI" w:cs="Segoe UI"/>
      <w:sz w:val="18"/>
      <w:szCs w:val="18"/>
      <w:lang w:val="fr-BE"/>
    </w:rPr>
  </w:style>
  <w:style w:type="character" w:styleId="Hyperlink">
    <w:name w:val="Hyperlink"/>
    <w:basedOn w:val="DefaultParagraphFont"/>
    <w:uiPriority w:val="99"/>
    <w:unhideWhenUsed/>
    <w:rsid w:val="00120F36"/>
    <w:rPr>
      <w:color w:val="2E3A74" w:themeColor="hyperlink"/>
      <w:u w:val="single"/>
    </w:rPr>
  </w:style>
  <w:style w:type="character" w:customStyle="1" w:styleId="Heading1Char">
    <w:name w:val="Heading 1 Char"/>
    <w:basedOn w:val="DefaultParagraphFont"/>
    <w:link w:val="Heading1"/>
    <w:uiPriority w:val="9"/>
    <w:rsid w:val="00CD2615"/>
    <w:rPr>
      <w:rFonts w:asciiTheme="majorHAnsi" w:eastAsiaTheme="majorEastAsia" w:hAnsiTheme="majorHAnsi" w:cstheme="majorBidi"/>
      <w:caps/>
      <w:color w:val="303874"/>
      <w:sz w:val="32"/>
      <w:szCs w:val="32"/>
      <w:lang w:val="fr-BE"/>
    </w:rPr>
  </w:style>
  <w:style w:type="character" w:styleId="Strong">
    <w:name w:val="Strong"/>
    <w:basedOn w:val="DefaultParagraphFont"/>
    <w:uiPriority w:val="22"/>
    <w:qFormat/>
    <w:rsid w:val="003A6BD0"/>
    <w:rPr>
      <w:rFonts w:asciiTheme="minorHAnsi" w:hAnsiTheme="minorHAnsi"/>
      <w:b/>
      <w:bCs/>
      <w:color w:val="28345A"/>
    </w:rPr>
  </w:style>
  <w:style w:type="character" w:customStyle="1" w:styleId="Heading2Char">
    <w:name w:val="Heading 2 Char"/>
    <w:basedOn w:val="DefaultParagraphFont"/>
    <w:link w:val="Heading2"/>
    <w:uiPriority w:val="9"/>
    <w:rsid w:val="00CD2615"/>
    <w:rPr>
      <w:rFonts w:asciiTheme="majorHAnsi" w:eastAsiaTheme="majorEastAsia" w:hAnsiTheme="majorHAnsi" w:cstheme="majorBidi"/>
      <w:color w:val="303874"/>
      <w:sz w:val="26"/>
      <w:szCs w:val="26"/>
      <w:lang w:val="fr-BE"/>
    </w:rPr>
  </w:style>
  <w:style w:type="character" w:customStyle="1" w:styleId="Heading3Char">
    <w:name w:val="Heading 3 Char"/>
    <w:basedOn w:val="DefaultParagraphFont"/>
    <w:link w:val="Heading3"/>
    <w:uiPriority w:val="9"/>
    <w:rsid w:val="00CD2615"/>
    <w:rPr>
      <w:rFonts w:asciiTheme="majorHAnsi" w:eastAsiaTheme="majorEastAsia" w:hAnsiTheme="majorHAnsi" w:cstheme="majorBidi"/>
      <w:b/>
      <w:color w:val="2E3A74"/>
      <w:sz w:val="24"/>
      <w:szCs w:val="24"/>
      <w:lang w:val="fr-BE"/>
    </w:rPr>
  </w:style>
  <w:style w:type="character" w:styleId="Emphasis">
    <w:name w:val="Emphasis"/>
    <w:basedOn w:val="DefaultParagraphFont"/>
    <w:uiPriority w:val="20"/>
    <w:qFormat/>
    <w:rsid w:val="002D46F3"/>
    <w:rPr>
      <w:i/>
      <w:iCs/>
    </w:rPr>
  </w:style>
  <w:style w:type="character" w:styleId="BookTitle">
    <w:name w:val="Book Title"/>
    <w:basedOn w:val="DefaultParagraphFont"/>
    <w:uiPriority w:val="33"/>
    <w:qFormat/>
    <w:rsid w:val="002D46F3"/>
    <w:rPr>
      <w:b/>
      <w:bCs/>
      <w:i/>
      <w:iCs/>
      <w:spacing w:val="5"/>
    </w:rPr>
  </w:style>
  <w:style w:type="paragraph" w:styleId="ListParagraph">
    <w:name w:val="List Paragraph"/>
    <w:basedOn w:val="Normal"/>
    <w:uiPriority w:val="34"/>
    <w:qFormat/>
    <w:rsid w:val="00CA5ECB"/>
    <w:pPr>
      <w:numPr>
        <w:numId w:val="6"/>
      </w:numPr>
      <w:tabs>
        <w:tab w:val="left" w:pos="567"/>
        <w:tab w:val="left" w:pos="851"/>
        <w:tab w:val="left" w:pos="1134"/>
        <w:tab w:val="left" w:pos="1418"/>
      </w:tabs>
      <w:suppressAutoHyphens/>
      <w:contextualSpacing/>
    </w:pPr>
  </w:style>
  <w:style w:type="character" w:styleId="IntenseReference">
    <w:name w:val="Intense Reference"/>
    <w:basedOn w:val="DefaultParagraphFont"/>
    <w:uiPriority w:val="32"/>
    <w:qFormat/>
    <w:rsid w:val="002D46F3"/>
    <w:rPr>
      <w:b/>
      <w:bCs/>
      <w:smallCaps/>
      <w:color w:val="2E3A74" w:themeColor="accent1"/>
      <w:spacing w:val="5"/>
    </w:rPr>
  </w:style>
  <w:style w:type="character" w:customStyle="1" w:styleId="Heading4Char">
    <w:name w:val="Heading 4 Char"/>
    <w:basedOn w:val="DefaultParagraphFont"/>
    <w:link w:val="Heading4"/>
    <w:uiPriority w:val="9"/>
    <w:rsid w:val="00CD2615"/>
    <w:rPr>
      <w:rFonts w:asciiTheme="majorHAnsi" w:eastAsiaTheme="majorEastAsia" w:hAnsiTheme="majorHAnsi" w:cstheme="majorBidi"/>
      <w:i/>
      <w:iCs/>
      <w:color w:val="303874"/>
      <w:lang w:val="fr-BE"/>
    </w:rPr>
  </w:style>
  <w:style w:type="character" w:styleId="PlaceholderText">
    <w:name w:val="Placeholder Text"/>
    <w:basedOn w:val="DefaultParagraphFont"/>
    <w:uiPriority w:val="99"/>
    <w:semiHidden/>
    <w:rsid w:val="00565F56"/>
    <w:rPr>
      <w:color w:val="808080"/>
    </w:rPr>
  </w:style>
  <w:style w:type="table" w:styleId="TableGrid">
    <w:name w:val="Table Grid"/>
    <w:basedOn w:val="TableNormal"/>
    <w:uiPriority w:val="39"/>
    <w:rsid w:val="00565F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F3F41"/>
    <w:pPr>
      <w:widowControl w:val="0"/>
      <w:spacing w:after="0"/>
      <w:contextualSpacing/>
      <w:jc w:val="center"/>
    </w:pPr>
    <w:rPr>
      <w:rFonts w:asciiTheme="majorHAnsi" w:eastAsiaTheme="majorEastAsia" w:hAnsiTheme="majorHAnsi" w:cstheme="majorBidi"/>
      <w:caps/>
      <w:color w:val="2E3A74"/>
      <w:spacing w:val="-10"/>
      <w:kern w:val="28"/>
      <w:sz w:val="44"/>
      <w:szCs w:val="56"/>
    </w:rPr>
  </w:style>
  <w:style w:type="character" w:customStyle="1" w:styleId="TitleChar">
    <w:name w:val="Title Char"/>
    <w:basedOn w:val="DefaultParagraphFont"/>
    <w:link w:val="Title"/>
    <w:uiPriority w:val="10"/>
    <w:rsid w:val="009F3F41"/>
    <w:rPr>
      <w:rFonts w:asciiTheme="majorHAnsi" w:eastAsiaTheme="majorEastAsia" w:hAnsiTheme="majorHAnsi" w:cstheme="majorBidi"/>
      <w:caps/>
      <w:color w:val="2E3A74"/>
      <w:spacing w:val="-10"/>
      <w:kern w:val="28"/>
      <w:sz w:val="44"/>
      <w:szCs w:val="56"/>
      <w:lang w:val="fr-BE"/>
    </w:rPr>
  </w:style>
  <w:style w:type="character" w:customStyle="1" w:styleId="Heading5Char">
    <w:name w:val="Heading 5 Char"/>
    <w:basedOn w:val="DefaultParagraphFont"/>
    <w:link w:val="Heading5"/>
    <w:uiPriority w:val="9"/>
    <w:rsid w:val="003A6BD0"/>
    <w:rPr>
      <w:rFonts w:asciiTheme="majorHAnsi" w:eastAsiaTheme="majorEastAsia" w:hAnsiTheme="majorHAnsi" w:cstheme="majorBidi"/>
      <w:color w:val="303874"/>
      <w:sz w:val="20"/>
      <w:lang w:val="fr-BE"/>
    </w:rPr>
  </w:style>
  <w:style w:type="character" w:customStyle="1" w:styleId="Heading6Char">
    <w:name w:val="Heading 6 Char"/>
    <w:basedOn w:val="DefaultParagraphFont"/>
    <w:link w:val="Heading6"/>
    <w:uiPriority w:val="9"/>
    <w:rsid w:val="00DF5D43"/>
    <w:rPr>
      <w:rFonts w:asciiTheme="majorHAnsi" w:eastAsiaTheme="majorEastAsia" w:hAnsiTheme="majorHAnsi" w:cstheme="majorBidi"/>
      <w:color w:val="171C39" w:themeColor="accent1" w:themeShade="7F"/>
      <w:lang w:val="fr-BE"/>
    </w:rPr>
  </w:style>
  <w:style w:type="character" w:styleId="SubtleReference">
    <w:name w:val="Subtle Reference"/>
    <w:basedOn w:val="DefaultParagraphFont"/>
    <w:uiPriority w:val="31"/>
    <w:qFormat/>
    <w:rsid w:val="008D7163"/>
    <w:rPr>
      <w:smallCaps/>
      <w:color w:val="5A5A5A" w:themeColor="text1" w:themeTint="A5"/>
    </w:rPr>
  </w:style>
  <w:style w:type="paragraph" w:styleId="Subtitle">
    <w:name w:val="Subtitle"/>
    <w:basedOn w:val="Normal"/>
    <w:next w:val="Normal"/>
    <w:link w:val="SubtitleChar"/>
    <w:uiPriority w:val="11"/>
    <w:qFormat/>
    <w:rsid w:val="009F3F41"/>
    <w:pPr>
      <w:numPr>
        <w:ilvl w:val="1"/>
      </w:numPr>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3F41"/>
    <w:rPr>
      <w:rFonts w:eastAsiaTheme="minorEastAsia"/>
      <w:color w:val="5A5A5A" w:themeColor="text1" w:themeTint="A5"/>
      <w:spacing w:val="15"/>
      <w:lang w:val="fr-BE"/>
    </w:rPr>
  </w:style>
  <w:style w:type="paragraph" w:styleId="IntenseQuote">
    <w:name w:val="Intense Quote"/>
    <w:basedOn w:val="Normal"/>
    <w:next w:val="Normal"/>
    <w:link w:val="IntenseQuoteChar"/>
    <w:uiPriority w:val="30"/>
    <w:qFormat/>
    <w:rsid w:val="000073B7"/>
    <w:pPr>
      <w:pBdr>
        <w:top w:val="single" w:sz="4" w:space="10" w:color="2E3A74" w:themeColor="accent1"/>
        <w:bottom w:val="single" w:sz="4" w:space="10" w:color="2E3A74" w:themeColor="accent1"/>
      </w:pBdr>
      <w:spacing w:before="360" w:after="360"/>
      <w:ind w:left="864" w:right="864"/>
      <w:jc w:val="center"/>
    </w:pPr>
    <w:rPr>
      <w:i/>
      <w:iCs/>
      <w:color w:val="2E3A74" w:themeColor="accent1"/>
    </w:rPr>
  </w:style>
  <w:style w:type="character" w:customStyle="1" w:styleId="IntenseQuoteChar">
    <w:name w:val="Intense Quote Char"/>
    <w:basedOn w:val="DefaultParagraphFont"/>
    <w:link w:val="IntenseQuote"/>
    <w:uiPriority w:val="30"/>
    <w:rsid w:val="000073B7"/>
    <w:rPr>
      <w:i/>
      <w:iCs/>
      <w:color w:val="2E3A74" w:themeColor="accent1"/>
      <w:sz w:val="20"/>
      <w:lang w:val="fr-BE"/>
    </w:rPr>
  </w:style>
  <w:style w:type="paragraph" w:styleId="Quote">
    <w:name w:val="Quote"/>
    <w:basedOn w:val="Normal"/>
    <w:next w:val="Normal"/>
    <w:link w:val="QuoteChar"/>
    <w:uiPriority w:val="29"/>
    <w:qFormat/>
    <w:rsid w:val="000073B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073B7"/>
    <w:rPr>
      <w:i/>
      <w:iCs/>
      <w:color w:val="404040" w:themeColor="text1" w:themeTint="BF"/>
      <w:sz w:val="20"/>
      <w:lang w:val="fr-BE"/>
    </w:rPr>
  </w:style>
  <w:style w:type="paragraph" w:styleId="TOCHeading">
    <w:name w:val="TOC Heading"/>
    <w:basedOn w:val="Heading1"/>
    <w:next w:val="Normal"/>
    <w:uiPriority w:val="39"/>
    <w:unhideWhenUsed/>
    <w:qFormat/>
    <w:rsid w:val="00CA5ECB"/>
    <w:pPr>
      <w:numPr>
        <w:numId w:val="0"/>
      </w:numPr>
      <w:spacing w:line="259" w:lineRule="auto"/>
      <w:jc w:val="left"/>
      <w:outlineLvl w:val="9"/>
    </w:pPr>
    <w:rPr>
      <w:color w:val="222B56" w:themeColor="accent1" w:themeShade="BF"/>
      <w:lang w:val="en-US"/>
    </w:rPr>
  </w:style>
  <w:style w:type="paragraph" w:styleId="TOC1">
    <w:name w:val="toc 1"/>
    <w:basedOn w:val="Normal"/>
    <w:next w:val="Normal"/>
    <w:autoRedefine/>
    <w:uiPriority w:val="39"/>
    <w:unhideWhenUsed/>
    <w:rsid w:val="00921864"/>
    <w:pPr>
      <w:spacing w:after="100"/>
    </w:pPr>
  </w:style>
  <w:style w:type="paragraph" w:styleId="TOC2">
    <w:name w:val="toc 2"/>
    <w:basedOn w:val="Normal"/>
    <w:next w:val="Normal"/>
    <w:autoRedefine/>
    <w:uiPriority w:val="39"/>
    <w:unhideWhenUsed/>
    <w:rsid w:val="00921864"/>
    <w:pPr>
      <w:spacing w:after="100"/>
      <w:ind w:left="200"/>
    </w:pPr>
  </w:style>
  <w:style w:type="paragraph" w:styleId="TOC3">
    <w:name w:val="toc 3"/>
    <w:basedOn w:val="Normal"/>
    <w:next w:val="Normal"/>
    <w:autoRedefine/>
    <w:uiPriority w:val="39"/>
    <w:unhideWhenUsed/>
    <w:rsid w:val="00921864"/>
    <w:pPr>
      <w:spacing w:after="100"/>
      <w:ind w:left="400"/>
    </w:pPr>
  </w:style>
  <w:style w:type="paragraph" w:styleId="NoSpacing">
    <w:name w:val="No Spacing"/>
    <w:link w:val="NoSpacingChar"/>
    <w:uiPriority w:val="1"/>
    <w:qFormat/>
    <w:rsid w:val="002F2ACA"/>
    <w:pPr>
      <w:spacing w:after="0"/>
    </w:pPr>
    <w:rPr>
      <w:rFonts w:eastAsiaTheme="minorEastAsia"/>
      <w:color w:val="626261"/>
      <w:lang w:val="en-US"/>
    </w:rPr>
  </w:style>
  <w:style w:type="character" w:customStyle="1" w:styleId="NoSpacingChar">
    <w:name w:val="No Spacing Char"/>
    <w:basedOn w:val="DefaultParagraphFont"/>
    <w:link w:val="NoSpacing"/>
    <w:uiPriority w:val="1"/>
    <w:rsid w:val="002F2ACA"/>
    <w:rPr>
      <w:rFonts w:eastAsiaTheme="minorEastAsia"/>
      <w:color w:val="626261"/>
      <w:lang w:val="en-US"/>
    </w:rPr>
  </w:style>
  <w:style w:type="paragraph" w:styleId="FootnoteText">
    <w:name w:val="footnote text"/>
    <w:basedOn w:val="Normal"/>
    <w:link w:val="FootnoteTextChar"/>
    <w:uiPriority w:val="99"/>
    <w:unhideWhenUsed/>
    <w:rsid w:val="001E639F"/>
    <w:pPr>
      <w:spacing w:after="0"/>
    </w:pPr>
    <w:rPr>
      <w:sz w:val="16"/>
      <w:szCs w:val="16"/>
      <w:lang w:val="en-GB"/>
    </w:rPr>
  </w:style>
  <w:style w:type="character" w:customStyle="1" w:styleId="FootnoteTextChar">
    <w:name w:val="Footnote Text Char"/>
    <w:basedOn w:val="DefaultParagraphFont"/>
    <w:link w:val="FootnoteText"/>
    <w:uiPriority w:val="99"/>
    <w:rsid w:val="001E639F"/>
    <w:rPr>
      <w:color w:val="626261"/>
      <w:sz w:val="16"/>
      <w:szCs w:val="16"/>
    </w:rPr>
  </w:style>
  <w:style w:type="character" w:styleId="FootnoteReference">
    <w:name w:val="footnote reference"/>
    <w:basedOn w:val="DefaultParagraphFont"/>
    <w:uiPriority w:val="99"/>
    <w:semiHidden/>
    <w:unhideWhenUsed/>
    <w:rsid w:val="00AC16D6"/>
    <w:rPr>
      <w:vertAlign w:val="superscript"/>
    </w:rPr>
  </w:style>
  <w:style w:type="table" w:customStyle="1" w:styleId="PlainTable51">
    <w:name w:val="Plain Table 51"/>
    <w:basedOn w:val="TableNormal"/>
    <w:uiPriority w:val="45"/>
    <w:rsid w:val="006D16A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6D16A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D16A1"/>
    <w:pPr>
      <w:spacing w:after="0"/>
    </w:pPr>
    <w:tblPr>
      <w:tblStyleRowBandSize w:val="1"/>
      <w:tblStyleColBandSize w:val="1"/>
      <w:tblBorders>
        <w:top w:val="single" w:sz="4" w:space="0" w:color="9BA5D7" w:themeColor="accent1" w:themeTint="66"/>
        <w:left w:val="single" w:sz="4" w:space="0" w:color="9BA5D7" w:themeColor="accent1" w:themeTint="66"/>
        <w:bottom w:val="single" w:sz="4" w:space="0" w:color="9BA5D7" w:themeColor="accent1" w:themeTint="66"/>
        <w:right w:val="single" w:sz="4" w:space="0" w:color="9BA5D7" w:themeColor="accent1" w:themeTint="66"/>
        <w:insideH w:val="single" w:sz="4" w:space="0" w:color="9BA5D7" w:themeColor="accent1" w:themeTint="66"/>
        <w:insideV w:val="single" w:sz="4" w:space="0" w:color="9BA5D7" w:themeColor="accent1" w:themeTint="66"/>
      </w:tblBorders>
    </w:tblPr>
    <w:tblStylePr w:type="firstRow">
      <w:rPr>
        <w:b/>
        <w:bCs/>
      </w:rPr>
      <w:tblPr/>
      <w:tcPr>
        <w:tcBorders>
          <w:bottom w:val="single" w:sz="12" w:space="0" w:color="6978C3" w:themeColor="accent1" w:themeTint="99"/>
        </w:tcBorders>
      </w:tcPr>
    </w:tblStylePr>
    <w:tblStylePr w:type="lastRow">
      <w:rPr>
        <w:b/>
        <w:bCs/>
      </w:rPr>
      <w:tblPr/>
      <w:tcPr>
        <w:tcBorders>
          <w:top w:val="double" w:sz="2" w:space="0" w:color="6978C3" w:themeColor="accent1" w:themeTint="99"/>
        </w:tcBorders>
      </w:tcPr>
    </w:tblStylePr>
    <w:tblStylePr w:type="firstCol">
      <w:rPr>
        <w:b/>
        <w:bCs/>
      </w:rPr>
    </w:tblStylePr>
    <w:tblStylePr w:type="lastCol">
      <w:rPr>
        <w:b/>
        <w:bCs/>
      </w:rPr>
    </w:tblStylePr>
  </w:style>
  <w:style w:type="character" w:styleId="SubtleEmphasis">
    <w:name w:val="Subtle Emphasis"/>
    <w:basedOn w:val="DefaultParagraphFont"/>
    <w:uiPriority w:val="19"/>
    <w:qFormat/>
    <w:rsid w:val="0040028C"/>
    <w:rPr>
      <w:i/>
      <w:iCs/>
      <w:color w:val="404040" w:themeColor="text1" w:themeTint="BF"/>
    </w:rPr>
  </w:style>
  <w:style w:type="character" w:customStyle="1" w:styleId="Mention1">
    <w:name w:val="Mention1"/>
    <w:basedOn w:val="DefaultParagraphFont"/>
    <w:uiPriority w:val="99"/>
    <w:semiHidden/>
    <w:unhideWhenUsed/>
    <w:rsid w:val="00506D5C"/>
    <w:rPr>
      <w:color w:val="2B579A"/>
      <w:shd w:val="clear" w:color="auto" w:fill="E6E6E6"/>
    </w:rPr>
  </w:style>
  <w:style w:type="table" w:customStyle="1" w:styleId="GridTable4-Accent11">
    <w:name w:val="Grid Table 4 - Accent 11"/>
    <w:basedOn w:val="TableNormal"/>
    <w:next w:val="GridTable4-Accent12"/>
    <w:uiPriority w:val="49"/>
    <w:rsid w:val="00E748E1"/>
    <w:pPr>
      <w:spacing w:after="0"/>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
    <w:name w:val="Grid Table 4 - Accent 12"/>
    <w:basedOn w:val="TableNormal"/>
    <w:uiPriority w:val="49"/>
    <w:rsid w:val="00E748E1"/>
    <w:pPr>
      <w:spacing w:after="0"/>
    </w:pPr>
    <w:tblPr>
      <w:tblStyleRowBandSize w:val="1"/>
      <w:tblStyleColBandSize w:val="1"/>
      <w:tblBorders>
        <w:top w:val="single" w:sz="4" w:space="0" w:color="6978C3" w:themeColor="accent1" w:themeTint="99"/>
        <w:left w:val="single" w:sz="4" w:space="0" w:color="6978C3" w:themeColor="accent1" w:themeTint="99"/>
        <w:bottom w:val="single" w:sz="4" w:space="0" w:color="6978C3" w:themeColor="accent1" w:themeTint="99"/>
        <w:right w:val="single" w:sz="4" w:space="0" w:color="6978C3" w:themeColor="accent1" w:themeTint="99"/>
        <w:insideH w:val="single" w:sz="4" w:space="0" w:color="6978C3" w:themeColor="accent1" w:themeTint="99"/>
        <w:insideV w:val="single" w:sz="4" w:space="0" w:color="6978C3" w:themeColor="accent1" w:themeTint="99"/>
      </w:tblBorders>
    </w:tblPr>
    <w:tblStylePr w:type="firstRow">
      <w:rPr>
        <w:b/>
        <w:bCs/>
        <w:color w:val="FFFFFF" w:themeColor="background1"/>
      </w:rPr>
      <w:tblPr/>
      <w:tcPr>
        <w:tcBorders>
          <w:top w:val="single" w:sz="4" w:space="0" w:color="2E3A74" w:themeColor="accent1"/>
          <w:left w:val="single" w:sz="4" w:space="0" w:color="2E3A74" w:themeColor="accent1"/>
          <w:bottom w:val="single" w:sz="4" w:space="0" w:color="2E3A74" w:themeColor="accent1"/>
          <w:right w:val="single" w:sz="4" w:space="0" w:color="2E3A74" w:themeColor="accent1"/>
          <w:insideH w:val="nil"/>
          <w:insideV w:val="nil"/>
        </w:tcBorders>
        <w:shd w:val="clear" w:color="auto" w:fill="2E3A74" w:themeFill="accent1"/>
      </w:tcPr>
    </w:tblStylePr>
    <w:tblStylePr w:type="lastRow">
      <w:rPr>
        <w:b/>
        <w:bCs/>
      </w:rPr>
      <w:tblPr/>
      <w:tcPr>
        <w:tcBorders>
          <w:top w:val="double" w:sz="4" w:space="0" w:color="2E3A74" w:themeColor="accent1"/>
        </w:tcBorders>
      </w:tcPr>
    </w:tblStylePr>
    <w:tblStylePr w:type="firstCol">
      <w:rPr>
        <w:b/>
        <w:bCs/>
      </w:rPr>
    </w:tblStylePr>
    <w:tblStylePr w:type="lastCol">
      <w:rPr>
        <w:b/>
        <w:bCs/>
      </w:rPr>
    </w:tblStylePr>
    <w:tblStylePr w:type="band1Vert">
      <w:tblPr/>
      <w:tcPr>
        <w:shd w:val="clear" w:color="auto" w:fill="CDD2EB" w:themeFill="accent1" w:themeFillTint="33"/>
      </w:tcPr>
    </w:tblStylePr>
    <w:tblStylePr w:type="band1Horz">
      <w:tblPr/>
      <w:tcPr>
        <w:shd w:val="clear" w:color="auto" w:fill="CDD2EB" w:themeFill="accent1" w:themeFillTint="33"/>
      </w:tcPr>
    </w:tblStylePr>
  </w:style>
  <w:style w:type="table" w:customStyle="1" w:styleId="GridTable4-Accent120">
    <w:name w:val="Grid Table 4 - Accent 12"/>
    <w:basedOn w:val="TableNormal"/>
    <w:next w:val="GridTable4-Accent12"/>
    <w:uiPriority w:val="49"/>
    <w:rsid w:val="00E748E1"/>
    <w:pPr>
      <w:spacing w:after="0"/>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ABLEAUTETEDECOLONNE">
    <w:name w:val="TABLEAU TETE DE COLONNE"/>
    <w:basedOn w:val="Normal"/>
    <w:qFormat/>
    <w:rsid w:val="00EF0D9F"/>
    <w:pPr>
      <w:spacing w:after="0"/>
      <w:jc w:val="left"/>
    </w:pPr>
    <w:rPr>
      <w:rFonts w:ascii="Calibri" w:eastAsia="Calibri" w:hAnsi="Calibri" w:cs="Mangal"/>
      <w:bCs/>
      <w:color w:val="FFFFFF"/>
    </w:rPr>
  </w:style>
  <w:style w:type="paragraph" w:customStyle="1" w:styleId="TABLEAUCONTENU">
    <w:name w:val="TABLEAU CONTENU"/>
    <w:basedOn w:val="Normal"/>
    <w:qFormat/>
    <w:rsid w:val="00FB1D46"/>
    <w:pPr>
      <w:spacing w:after="0"/>
    </w:pPr>
    <w:rPr>
      <w:sz w:val="18"/>
      <w:szCs w:val="18"/>
    </w:rPr>
  </w:style>
  <w:style w:type="table" w:customStyle="1" w:styleId="GridTable4-Accent13">
    <w:name w:val="Grid Table 4 - Accent 13"/>
    <w:basedOn w:val="TableNormal"/>
    <w:next w:val="GridTable4-Accent12"/>
    <w:uiPriority w:val="49"/>
    <w:rsid w:val="00FB1D46"/>
    <w:pPr>
      <w:spacing w:after="0"/>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4">
    <w:name w:val="Grid Table 4 - Accent 14"/>
    <w:basedOn w:val="TableNormal"/>
    <w:next w:val="GridTable4-Accent12"/>
    <w:uiPriority w:val="49"/>
    <w:rsid w:val="00EF4410"/>
    <w:pPr>
      <w:spacing w:after="0"/>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5">
    <w:name w:val="Grid Table 4 - Accent 15"/>
    <w:basedOn w:val="TableNormal"/>
    <w:next w:val="GridTable4-Accent12"/>
    <w:uiPriority w:val="49"/>
    <w:rsid w:val="00EF4410"/>
    <w:pPr>
      <w:spacing w:after="0"/>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6">
    <w:name w:val="Grid Table 4 - Accent 16"/>
    <w:basedOn w:val="TableNormal"/>
    <w:next w:val="GridTable4-Accent12"/>
    <w:uiPriority w:val="49"/>
    <w:rsid w:val="00EF4410"/>
    <w:pPr>
      <w:spacing w:after="0"/>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7">
    <w:name w:val="Grid Table 4 - Accent 17"/>
    <w:basedOn w:val="TableNormal"/>
    <w:next w:val="GridTable4-Accent12"/>
    <w:uiPriority w:val="49"/>
    <w:rsid w:val="00EF4410"/>
    <w:pPr>
      <w:spacing w:after="0"/>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8">
    <w:name w:val="Grid Table 4 - Accent 18"/>
    <w:basedOn w:val="TableNormal"/>
    <w:next w:val="GridTable4-Accent12"/>
    <w:uiPriority w:val="49"/>
    <w:rsid w:val="00EF4410"/>
    <w:pPr>
      <w:spacing w:after="0"/>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9">
    <w:name w:val="Grid Table 4 - Accent 19"/>
    <w:basedOn w:val="TableNormal"/>
    <w:next w:val="GridTable4-Accent12"/>
    <w:uiPriority w:val="49"/>
    <w:rsid w:val="00EF4410"/>
    <w:pPr>
      <w:spacing w:after="0"/>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0">
    <w:name w:val="Grid Table 4 - Accent 110"/>
    <w:basedOn w:val="TableNormal"/>
    <w:next w:val="GridTable4-Accent12"/>
    <w:uiPriority w:val="49"/>
    <w:rsid w:val="00EF4410"/>
    <w:pPr>
      <w:spacing w:after="0"/>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1">
    <w:name w:val="Grid Table 4 - Accent 111"/>
    <w:basedOn w:val="TableNormal"/>
    <w:next w:val="GridTable4-Accent12"/>
    <w:uiPriority w:val="49"/>
    <w:rsid w:val="00EF4410"/>
    <w:pPr>
      <w:spacing w:after="0"/>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2">
    <w:name w:val="Grid Table 4 - Accent 112"/>
    <w:basedOn w:val="TableNormal"/>
    <w:next w:val="GridTable4-Accent12"/>
    <w:uiPriority w:val="49"/>
    <w:rsid w:val="00EF4410"/>
    <w:pPr>
      <w:spacing w:after="0"/>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3">
    <w:name w:val="Grid Table 4 - Accent 113"/>
    <w:basedOn w:val="TableNormal"/>
    <w:next w:val="GridTable4-Accent12"/>
    <w:uiPriority w:val="49"/>
    <w:rsid w:val="00EF4410"/>
    <w:pPr>
      <w:spacing w:after="0"/>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4">
    <w:name w:val="Grid Table 4 - Accent 114"/>
    <w:basedOn w:val="TableNormal"/>
    <w:next w:val="GridTable4-Accent12"/>
    <w:uiPriority w:val="49"/>
    <w:rsid w:val="00A8403A"/>
    <w:pPr>
      <w:spacing w:after="0"/>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5">
    <w:name w:val="Grid Table 4 - Accent 115"/>
    <w:basedOn w:val="TableNormal"/>
    <w:next w:val="GridTable4-Accent12"/>
    <w:uiPriority w:val="49"/>
    <w:rsid w:val="00A8403A"/>
    <w:pPr>
      <w:spacing w:after="0"/>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6">
    <w:name w:val="Grid Table 4 - Accent 116"/>
    <w:basedOn w:val="TableNormal"/>
    <w:next w:val="GridTable4-Accent12"/>
    <w:uiPriority w:val="49"/>
    <w:rsid w:val="007A3F27"/>
    <w:pPr>
      <w:spacing w:after="0"/>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7">
    <w:name w:val="Grid Table 4 - Accent 117"/>
    <w:basedOn w:val="TableNormal"/>
    <w:next w:val="GridTable4-Accent12"/>
    <w:uiPriority w:val="49"/>
    <w:rsid w:val="007A3F27"/>
    <w:pPr>
      <w:spacing w:after="0"/>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8">
    <w:name w:val="Grid Table 4 - Accent 118"/>
    <w:basedOn w:val="TableNormal"/>
    <w:next w:val="GridTable4-Accent12"/>
    <w:uiPriority w:val="49"/>
    <w:rsid w:val="00E0309E"/>
    <w:pPr>
      <w:spacing w:after="0"/>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9">
    <w:name w:val="Grid Table 4 - Accent 119"/>
    <w:basedOn w:val="TableNormal"/>
    <w:next w:val="GridTable4-Accent12"/>
    <w:uiPriority w:val="49"/>
    <w:rsid w:val="00E0309E"/>
    <w:pPr>
      <w:spacing w:after="0"/>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00">
    <w:name w:val="Grid Table 4 - Accent 120"/>
    <w:basedOn w:val="TableNormal"/>
    <w:next w:val="GridTable4-Accent12"/>
    <w:uiPriority w:val="49"/>
    <w:rsid w:val="00E0309E"/>
    <w:pPr>
      <w:spacing w:after="0"/>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1">
    <w:name w:val="Grid Table 4 - Accent 121"/>
    <w:basedOn w:val="TableNormal"/>
    <w:next w:val="GridTable4-Accent12"/>
    <w:uiPriority w:val="49"/>
    <w:rsid w:val="00E0309E"/>
    <w:pPr>
      <w:spacing w:after="0"/>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next w:val="GridTable4-Accent12"/>
    <w:uiPriority w:val="49"/>
    <w:rsid w:val="00E0309E"/>
    <w:pPr>
      <w:spacing w:after="0"/>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3">
    <w:name w:val="Grid Table 4 - Accent 123"/>
    <w:basedOn w:val="TableNormal"/>
    <w:next w:val="GridTable4-Accent12"/>
    <w:uiPriority w:val="49"/>
    <w:rsid w:val="00E0309E"/>
    <w:pPr>
      <w:spacing w:after="0"/>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4">
    <w:name w:val="Grid Table 4 - Accent 124"/>
    <w:basedOn w:val="TableNormal"/>
    <w:next w:val="GridTable4-Accent12"/>
    <w:uiPriority w:val="49"/>
    <w:rsid w:val="00E0309E"/>
    <w:pPr>
      <w:spacing w:after="0"/>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5">
    <w:name w:val="Grid Table 4 - Accent 125"/>
    <w:basedOn w:val="TableNormal"/>
    <w:next w:val="GridTable4-Accent12"/>
    <w:uiPriority w:val="49"/>
    <w:rsid w:val="00E0309E"/>
    <w:pPr>
      <w:spacing w:after="0"/>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CommentReference">
    <w:name w:val="annotation reference"/>
    <w:basedOn w:val="DefaultParagraphFont"/>
    <w:uiPriority w:val="99"/>
    <w:semiHidden/>
    <w:unhideWhenUsed/>
    <w:rsid w:val="003C768C"/>
    <w:rPr>
      <w:sz w:val="16"/>
      <w:szCs w:val="16"/>
    </w:rPr>
  </w:style>
  <w:style w:type="paragraph" w:styleId="CommentText">
    <w:name w:val="annotation text"/>
    <w:basedOn w:val="Normal"/>
    <w:link w:val="CommentTextChar"/>
    <w:uiPriority w:val="99"/>
    <w:semiHidden/>
    <w:unhideWhenUsed/>
    <w:rsid w:val="003C768C"/>
    <w:rPr>
      <w:sz w:val="20"/>
      <w:szCs w:val="20"/>
    </w:rPr>
  </w:style>
  <w:style w:type="character" w:customStyle="1" w:styleId="CommentTextChar">
    <w:name w:val="Comment Text Char"/>
    <w:basedOn w:val="DefaultParagraphFont"/>
    <w:link w:val="CommentText"/>
    <w:uiPriority w:val="99"/>
    <w:semiHidden/>
    <w:rsid w:val="003C768C"/>
    <w:rPr>
      <w:color w:val="626261"/>
      <w:sz w:val="20"/>
      <w:szCs w:val="20"/>
      <w:lang w:val="fr-BE"/>
    </w:rPr>
  </w:style>
  <w:style w:type="paragraph" w:styleId="CommentSubject">
    <w:name w:val="annotation subject"/>
    <w:basedOn w:val="CommentText"/>
    <w:next w:val="CommentText"/>
    <w:link w:val="CommentSubjectChar"/>
    <w:uiPriority w:val="99"/>
    <w:semiHidden/>
    <w:unhideWhenUsed/>
    <w:rsid w:val="003C768C"/>
    <w:rPr>
      <w:b/>
      <w:bCs/>
    </w:rPr>
  </w:style>
  <w:style w:type="character" w:customStyle="1" w:styleId="CommentSubjectChar">
    <w:name w:val="Comment Subject Char"/>
    <w:basedOn w:val="CommentTextChar"/>
    <w:link w:val="CommentSubject"/>
    <w:uiPriority w:val="99"/>
    <w:semiHidden/>
    <w:rsid w:val="003C768C"/>
    <w:rPr>
      <w:b/>
      <w:bCs/>
      <w:color w:val="626261"/>
      <w:sz w:val="20"/>
      <w:szCs w:val="20"/>
      <w:lang w:val="fr-BE"/>
    </w:rPr>
  </w:style>
  <w:style w:type="character" w:customStyle="1" w:styleId="Heading7Char">
    <w:name w:val="Heading 7 Char"/>
    <w:basedOn w:val="DefaultParagraphFont"/>
    <w:link w:val="Heading7"/>
    <w:uiPriority w:val="9"/>
    <w:rsid w:val="00135CBF"/>
    <w:rPr>
      <w:rFonts w:asciiTheme="majorHAnsi" w:eastAsiaTheme="majorEastAsia" w:hAnsiTheme="majorHAnsi" w:cstheme="majorBidi"/>
      <w:i/>
      <w:iCs/>
      <w:color w:val="171C39" w:themeColor="accent1" w:themeShade="7F"/>
      <w:lang w:val="fr-BE"/>
    </w:rPr>
  </w:style>
  <w:style w:type="character" w:styleId="FollowedHyperlink">
    <w:name w:val="FollowedHyperlink"/>
    <w:basedOn w:val="DefaultParagraphFont"/>
    <w:uiPriority w:val="99"/>
    <w:semiHidden/>
    <w:unhideWhenUsed/>
    <w:rsid w:val="00596B87"/>
    <w:rPr>
      <w:color w:val="3EBBF0" w:themeColor="followedHyperlink"/>
      <w:u w:val="single"/>
    </w:rPr>
  </w:style>
  <w:style w:type="character" w:customStyle="1" w:styleId="Heading8Char">
    <w:name w:val="Heading 8 Char"/>
    <w:basedOn w:val="DefaultParagraphFont"/>
    <w:link w:val="Heading8"/>
    <w:uiPriority w:val="9"/>
    <w:rsid w:val="00CD4BCF"/>
    <w:rPr>
      <w:rFonts w:asciiTheme="majorHAnsi" w:eastAsiaTheme="majorEastAsia" w:hAnsiTheme="majorHAnsi" w:cstheme="majorBidi"/>
      <w:color w:val="272727" w:themeColor="text1" w:themeTint="D8"/>
      <w:sz w:val="21"/>
      <w:szCs w:val="21"/>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44651">
      <w:bodyDiv w:val="1"/>
      <w:marLeft w:val="0"/>
      <w:marRight w:val="0"/>
      <w:marTop w:val="0"/>
      <w:marBottom w:val="0"/>
      <w:divBdr>
        <w:top w:val="none" w:sz="0" w:space="0" w:color="auto"/>
        <w:left w:val="none" w:sz="0" w:space="0" w:color="auto"/>
        <w:bottom w:val="none" w:sz="0" w:space="0" w:color="auto"/>
        <w:right w:val="none" w:sz="0" w:space="0" w:color="auto"/>
      </w:divBdr>
    </w:div>
    <w:div w:id="195775436">
      <w:bodyDiv w:val="1"/>
      <w:marLeft w:val="0"/>
      <w:marRight w:val="0"/>
      <w:marTop w:val="0"/>
      <w:marBottom w:val="0"/>
      <w:divBdr>
        <w:top w:val="none" w:sz="0" w:space="0" w:color="auto"/>
        <w:left w:val="none" w:sz="0" w:space="0" w:color="auto"/>
        <w:bottom w:val="none" w:sz="0" w:space="0" w:color="auto"/>
        <w:right w:val="none" w:sz="0" w:space="0" w:color="auto"/>
      </w:divBdr>
    </w:div>
    <w:div w:id="248857130">
      <w:bodyDiv w:val="1"/>
      <w:marLeft w:val="0"/>
      <w:marRight w:val="0"/>
      <w:marTop w:val="0"/>
      <w:marBottom w:val="0"/>
      <w:divBdr>
        <w:top w:val="none" w:sz="0" w:space="0" w:color="auto"/>
        <w:left w:val="none" w:sz="0" w:space="0" w:color="auto"/>
        <w:bottom w:val="none" w:sz="0" w:space="0" w:color="auto"/>
        <w:right w:val="none" w:sz="0" w:space="0" w:color="auto"/>
      </w:divBdr>
    </w:div>
    <w:div w:id="458651338">
      <w:bodyDiv w:val="1"/>
      <w:marLeft w:val="0"/>
      <w:marRight w:val="0"/>
      <w:marTop w:val="0"/>
      <w:marBottom w:val="0"/>
      <w:divBdr>
        <w:top w:val="none" w:sz="0" w:space="0" w:color="auto"/>
        <w:left w:val="none" w:sz="0" w:space="0" w:color="auto"/>
        <w:bottom w:val="none" w:sz="0" w:space="0" w:color="auto"/>
        <w:right w:val="none" w:sz="0" w:space="0" w:color="auto"/>
      </w:divBdr>
    </w:div>
    <w:div w:id="1539078575">
      <w:bodyDiv w:val="1"/>
      <w:marLeft w:val="0"/>
      <w:marRight w:val="0"/>
      <w:marTop w:val="0"/>
      <w:marBottom w:val="0"/>
      <w:divBdr>
        <w:top w:val="none" w:sz="0" w:space="0" w:color="auto"/>
        <w:left w:val="none" w:sz="0" w:space="0" w:color="auto"/>
        <w:bottom w:val="none" w:sz="0" w:space="0" w:color="auto"/>
        <w:right w:val="none" w:sz="0" w:space="0" w:color="auto"/>
      </w:divBdr>
    </w:div>
    <w:div w:id="1791170236">
      <w:bodyDiv w:val="1"/>
      <w:marLeft w:val="0"/>
      <w:marRight w:val="0"/>
      <w:marTop w:val="0"/>
      <w:marBottom w:val="0"/>
      <w:divBdr>
        <w:top w:val="none" w:sz="0" w:space="0" w:color="auto"/>
        <w:left w:val="none" w:sz="0" w:space="0" w:color="auto"/>
        <w:bottom w:val="none" w:sz="0" w:space="0" w:color="auto"/>
        <w:right w:val="none" w:sz="0" w:space="0" w:color="auto"/>
      </w:divBdr>
    </w:div>
    <w:div w:id="209612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30.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image" Target="media/image33.emf"/><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image" Target="media/image3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image" Target="media/image36.jpeg"/><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49"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10.emf"/><Relationship Id="rId31" Type="http://schemas.openxmlformats.org/officeDocument/2006/relationships/image" Target="media/image22.emf"/><Relationship Id="rId44" Type="http://schemas.openxmlformats.org/officeDocument/2006/relationships/image" Target="media/image35.e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image" Target="media/image34.emf"/><Relationship Id="rId48" Type="http://schemas.openxmlformats.org/officeDocument/2006/relationships/header" Target="header2.xml"/><Relationship Id="rId8" Type="http://schemas.openxmlformats.org/officeDocument/2006/relationships/chart" Target="charts/chart1.xml"/><Relationship Id="rId51"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7.jpg"/></Relationships>
</file>

<file path=word/_rels/header2.xml.rels><?xml version="1.0" encoding="UTF-8" standalone="yes"?>
<Relationships xmlns="http://schemas.openxmlformats.org/package/2006/relationships"><Relationship Id="rId1" Type="http://schemas.openxmlformats.org/officeDocument/2006/relationships/image" Target="media/image38.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50"/>
      <c:rotY val="10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Column1</c:v>
                </c:pt>
              </c:strCache>
            </c:strRef>
          </c:tx>
          <c:explosion val="10"/>
          <c:dPt>
            <c:idx val="0"/>
            <c:bubble3D val="0"/>
            <c:spPr>
              <a:solidFill>
                <a:schemeClr val="accent3">
                  <a:shade val="58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DB0C-4DE4-B87C-0B7B8536B5F0}"/>
              </c:ext>
            </c:extLst>
          </c:dPt>
          <c:dPt>
            <c:idx val="1"/>
            <c:bubble3D val="0"/>
            <c:spPr>
              <a:solidFill>
                <a:schemeClr val="accent3">
                  <a:shade val="86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DB0C-4DE4-B87C-0B7B8536B5F0}"/>
              </c:ext>
            </c:extLst>
          </c:dPt>
          <c:dPt>
            <c:idx val="2"/>
            <c:bubble3D val="0"/>
            <c:spPr>
              <a:solidFill>
                <a:schemeClr val="accent3">
                  <a:tint val="86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DB0C-4DE4-B87C-0B7B8536B5F0}"/>
              </c:ext>
            </c:extLst>
          </c:dPt>
          <c:dPt>
            <c:idx val="3"/>
            <c:bubble3D val="0"/>
            <c:spPr>
              <a:solidFill>
                <a:schemeClr val="accent3">
                  <a:tint val="58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DB0C-4DE4-B87C-0B7B8536B5F0}"/>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ln>
                      <a:noFill/>
                    </a:ln>
                    <a:solidFill>
                      <a:schemeClr val="lt1"/>
                    </a:solidFill>
                    <a:latin typeface="+mn-lt"/>
                    <a:ea typeface="+mn-ea"/>
                    <a:cs typeface="+mn-cs"/>
                  </a:defRPr>
                </a:pPr>
                <a:endParaRPr lang="fr-FR"/>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Résidentiel</c:v>
                </c:pt>
                <c:pt idx="1">
                  <c:v>Bureaux</c:v>
                </c:pt>
                <c:pt idx="2">
                  <c:v>Lotissement</c:v>
                </c:pt>
              </c:strCache>
            </c:strRef>
          </c:cat>
          <c:val>
            <c:numRef>
              <c:f>Sheet1!$B$2:$B$4</c:f>
              <c:numCache>
                <c:formatCode>0%</c:formatCode>
                <c:ptCount val="3"/>
                <c:pt idx="0">
                  <c:v>0.60929969926812155</c:v>
                </c:pt>
                <c:pt idx="1">
                  <c:v>0.23145364627432694</c:v>
                </c:pt>
                <c:pt idx="2">
                  <c:v>0.1592466544575516</c:v>
                </c:pt>
              </c:numCache>
            </c:numRef>
          </c:val>
          <c:extLst>
            <c:ext xmlns:c16="http://schemas.microsoft.com/office/drawing/2014/chart" uri="{C3380CC4-5D6E-409C-BE32-E72D297353CC}">
              <c16:uniqueId val="{00000000-1F81-4DB8-AACA-925A081E632E}"/>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39"/>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Column1</c:v>
                </c:pt>
              </c:strCache>
            </c:strRef>
          </c:tx>
          <c:explosion val="10"/>
          <c:dPt>
            <c:idx val="0"/>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741C-42F7-9ABB-545553747124}"/>
              </c:ext>
            </c:extLst>
          </c:dPt>
          <c:dPt>
            <c:idx val="1"/>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741C-42F7-9ABB-545553747124}"/>
              </c:ext>
            </c:extLst>
          </c:dPt>
          <c:dPt>
            <c:idx val="2"/>
            <c:bubble3D val="0"/>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741C-42F7-9ABB-545553747124}"/>
              </c:ext>
            </c:extLst>
          </c:dPt>
          <c:dPt>
            <c:idx val="3"/>
            <c:bubble3D val="0"/>
            <c:spPr>
              <a:solidFill>
                <a:schemeClr val="accent2">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741C-42F7-9ABB-545553747124}"/>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ln>
                      <a:noFill/>
                    </a:ln>
                    <a:solidFill>
                      <a:schemeClr val="lt1"/>
                    </a:solidFill>
                    <a:latin typeface="+mn-lt"/>
                    <a:ea typeface="+mn-ea"/>
                    <a:cs typeface="+mn-cs"/>
                  </a:defRPr>
                </a:pPr>
                <a:endParaRPr lang="fr-FR"/>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Belgique</c:v>
                </c:pt>
                <c:pt idx="1">
                  <c:v>Luxembourg</c:v>
                </c:pt>
                <c:pt idx="2">
                  <c:v>Pologne</c:v>
                </c:pt>
              </c:strCache>
            </c:strRef>
          </c:cat>
          <c:val>
            <c:numRef>
              <c:f>Sheet1!$B$2:$B$4</c:f>
              <c:numCache>
                <c:formatCode>0%</c:formatCode>
                <c:ptCount val="3"/>
                <c:pt idx="0">
                  <c:v>0.67</c:v>
                </c:pt>
                <c:pt idx="1">
                  <c:v>0.19</c:v>
                </c:pt>
                <c:pt idx="2">
                  <c:v>0.14000000000000001</c:v>
                </c:pt>
              </c:numCache>
            </c:numRef>
          </c:val>
          <c:extLst>
            <c:ext xmlns:c16="http://schemas.microsoft.com/office/drawing/2014/chart" uri="{C3380CC4-5D6E-409C-BE32-E72D297353CC}">
              <c16:uniqueId val="{00000008-741C-42F7-9ABB-545553747124}"/>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5BC296C92846DB9075F215DEDDEE78"/>
        <w:category>
          <w:name w:val="General"/>
          <w:gallery w:val="placeholder"/>
        </w:category>
        <w:types>
          <w:type w:val="bbPlcHdr"/>
        </w:types>
        <w:behaviors>
          <w:behavior w:val="content"/>
        </w:behaviors>
        <w:guid w:val="{2403FB99-CDF5-4C96-A600-508BA62C4054}"/>
      </w:docPartPr>
      <w:docPartBody>
        <w:p w:rsidR="00FB1D7E" w:rsidRDefault="00FB1D7E" w:rsidP="00FB1D7E">
          <w:pPr>
            <w:pStyle w:val="D45BC296C92846DB9075F215DEDDEE78"/>
          </w:pPr>
          <w:r w:rsidRPr="00AC5EC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1F6"/>
    <w:rsid w:val="000919FF"/>
    <w:rsid w:val="000D0C7D"/>
    <w:rsid w:val="001707E7"/>
    <w:rsid w:val="002407D9"/>
    <w:rsid w:val="0024166C"/>
    <w:rsid w:val="002E42A2"/>
    <w:rsid w:val="003325DB"/>
    <w:rsid w:val="00361CBE"/>
    <w:rsid w:val="003D12F2"/>
    <w:rsid w:val="00486271"/>
    <w:rsid w:val="004B0FFC"/>
    <w:rsid w:val="0074693C"/>
    <w:rsid w:val="007D52A2"/>
    <w:rsid w:val="008131F6"/>
    <w:rsid w:val="008463FC"/>
    <w:rsid w:val="00881289"/>
    <w:rsid w:val="009358FB"/>
    <w:rsid w:val="009A2CC1"/>
    <w:rsid w:val="009C1B5D"/>
    <w:rsid w:val="00B31D53"/>
    <w:rsid w:val="00B73645"/>
    <w:rsid w:val="00BF2663"/>
    <w:rsid w:val="00C12753"/>
    <w:rsid w:val="00D76DB3"/>
    <w:rsid w:val="00DD03B2"/>
    <w:rsid w:val="00E70DAC"/>
    <w:rsid w:val="00E85A3D"/>
    <w:rsid w:val="00EA2721"/>
    <w:rsid w:val="00F155A8"/>
    <w:rsid w:val="00F34A43"/>
    <w:rsid w:val="00FB1D7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1F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2A2"/>
    <w:rPr>
      <w:color w:val="808080"/>
    </w:rPr>
  </w:style>
  <w:style w:type="paragraph" w:customStyle="1" w:styleId="471865054E1542928773B63D5D31EF99">
    <w:name w:val="471865054E1542928773B63D5D31EF99"/>
    <w:rsid w:val="00F155A8"/>
  </w:style>
  <w:style w:type="paragraph" w:customStyle="1" w:styleId="C87912CA9F444D35AD496444881784A2">
    <w:name w:val="C87912CA9F444D35AD496444881784A2"/>
    <w:rsid w:val="00F155A8"/>
  </w:style>
  <w:style w:type="paragraph" w:customStyle="1" w:styleId="E04ADA39DB2D4D029AA68F014E50C3DA">
    <w:name w:val="E04ADA39DB2D4D029AA68F014E50C3DA"/>
    <w:rsid w:val="00F155A8"/>
  </w:style>
  <w:style w:type="paragraph" w:customStyle="1" w:styleId="71A4B0EFD0F44822890282C5C020244D">
    <w:name w:val="71A4B0EFD0F44822890282C5C020244D"/>
    <w:rsid w:val="00F155A8"/>
  </w:style>
  <w:style w:type="paragraph" w:customStyle="1" w:styleId="6BEA2ACD35C04BCAA224F0A701131FAC">
    <w:name w:val="6BEA2ACD35C04BCAA224F0A701131FAC"/>
    <w:rsid w:val="00F155A8"/>
  </w:style>
  <w:style w:type="paragraph" w:customStyle="1" w:styleId="36B0E9A048C54A94BA080BADE7549E0C">
    <w:name w:val="36B0E9A048C54A94BA080BADE7549E0C"/>
    <w:rsid w:val="00FB1D7E"/>
  </w:style>
  <w:style w:type="paragraph" w:customStyle="1" w:styleId="D45BC296C92846DB9075F215DEDDEE78">
    <w:name w:val="D45BC296C92846DB9075F215DEDDEE78"/>
    <w:rsid w:val="00FB1D7E"/>
  </w:style>
  <w:style w:type="paragraph" w:customStyle="1" w:styleId="E875BC00BDA94143A9ED779D00AEC5EA">
    <w:name w:val="E875BC00BDA94143A9ED779D00AEC5EA"/>
    <w:rsid w:val="00FB1D7E"/>
  </w:style>
  <w:style w:type="paragraph" w:customStyle="1" w:styleId="599E649E849248089F4DFEAF268AA234">
    <w:name w:val="599E649E849248089F4DFEAF268AA234"/>
    <w:rsid w:val="00FB1D7E"/>
  </w:style>
  <w:style w:type="paragraph" w:customStyle="1" w:styleId="DA8946D550834D28A7AF41D4A7A614ED">
    <w:name w:val="DA8946D550834D28A7AF41D4A7A614ED"/>
    <w:rsid w:val="000D0C7D"/>
  </w:style>
  <w:style w:type="paragraph" w:customStyle="1" w:styleId="B73ABB21CB02421EAF28047E76BBD78C">
    <w:name w:val="B73ABB21CB02421EAF28047E76BBD78C"/>
    <w:rsid w:val="000D0C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9.jpeg"/></Relationships>
</file>

<file path=word/theme/theme1.xml><?xml version="1.0" encoding="utf-8"?>
<a:theme xmlns:a="http://schemas.openxmlformats.org/drawingml/2006/main" name="Banded">
  <a:themeElements>
    <a:clrScheme name="Custom 9">
      <a:dk1>
        <a:sysClr val="windowText" lastClr="000000"/>
      </a:dk1>
      <a:lt1>
        <a:sysClr val="window" lastClr="FFFFFF"/>
      </a:lt1>
      <a:dk2>
        <a:srgbClr val="242852"/>
      </a:dk2>
      <a:lt2>
        <a:srgbClr val="ACCBF9"/>
      </a:lt2>
      <a:accent1>
        <a:srgbClr val="2E3A74"/>
      </a:accent1>
      <a:accent2>
        <a:srgbClr val="455FA5"/>
      </a:accent2>
      <a:accent3>
        <a:srgbClr val="297FD5"/>
      </a:accent3>
      <a:accent4>
        <a:srgbClr val="7F8FA9"/>
      </a:accent4>
      <a:accent5>
        <a:srgbClr val="5AA2AE"/>
      </a:accent5>
      <a:accent6>
        <a:srgbClr val="9D90A0"/>
      </a:accent6>
      <a:hlink>
        <a:srgbClr val="2E3A74"/>
      </a:hlink>
      <a:folHlink>
        <a:srgbClr val="3EBBF0"/>
      </a:folHlink>
    </a:clrScheme>
    <a:fontScheme name="IMMOBEL CALIBRI">
      <a:majorFont>
        <a:latin typeface="Calibri"/>
        <a:ea typeface=""/>
        <a:cs typeface=""/>
      </a:majorFont>
      <a:minorFont>
        <a:latin typeface="Calibri Light"/>
        <a:ea typeface=""/>
        <a:cs typeface=""/>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6B83A-D8BF-473F-9CF1-1009085F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43</Pages>
  <Words>9488</Words>
  <Characters>52187</Characters>
  <Application>Microsoft Office Word</Application>
  <DocSecurity>0</DocSecurity>
  <Lines>434</Lines>
  <Paragraphs>123</Paragraphs>
  <ScaleCrop>false</ScaleCrop>
  <HeadingPairs>
    <vt:vector size="2" baseType="variant">
      <vt:variant>
        <vt:lpstr>Title</vt:lpstr>
      </vt:variant>
      <vt:variant>
        <vt:i4>1</vt:i4>
      </vt:variant>
    </vt:vector>
  </HeadingPairs>
  <TitlesOfParts>
    <vt:vector size="1" baseType="lpstr">
      <vt:lpstr>IMMOBEL - Rapport intermédiaire</vt:lpstr>
    </vt:vector>
  </TitlesOfParts>
  <Company/>
  <LinksUpToDate>false</LinksUpToDate>
  <CharactersWithSpaces>61552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IMMOBEL - Rapport intermédiaire</dc:title>
  <dc:subject/>
  <dc:creator>Patrick Morant</dc:creator>
  <cp:keywords>DRAFT - 30 juin 2017</cp:keywords>
  <dc:description/>
  <cp:lastModifiedBy>Olivia Vastapane</cp:lastModifiedBy>
  <cp:revision>16</cp:revision>
  <cp:lastPrinted>2017-09-07T09:17:00Z</cp:lastPrinted>
  <dcterms:created xsi:type="dcterms:W3CDTF">2017-08-30T13:58:00Z</dcterms:created>
  <dcterms:modified xsi:type="dcterms:W3CDTF">2017-09-07T09:17:00Z</dcterms:modified>
</cp:coreProperties>
</file>